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1"/>
        <w:spacing w:before="120" w:beforeAutospacing="0" w:after="120" w:afterAutospacing="0" w:line="360" w:lineRule="auto"/>
        <w:rPr>
          <w:highlight w:val="none"/>
        </w:rPr>
      </w:pPr>
      <w:r>
        <w:rPr>
          <w:highlight w:val="none"/>
        </w:rPr>
        <w:t xml:space="preserve"> </w:t>
      </w:r>
      <w:r/>
    </w:p>
    <w:p>
      <w:pPr>
        <w:pStyle w:val="661"/>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661"/>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661"/>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661"/>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661"/>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661"/>
        <w:jc w:val="center"/>
        <w:spacing w:before="120" w:beforeAutospacing="0" w:after="120" w:afterAutospacing="0" w:line="360" w:lineRule="auto"/>
        <w:rPr>
          <w:rFonts w:ascii="Arial" w:hAnsi="Arial" w:cs="Arial"/>
          <w:b/>
          <w:color w:val="auto"/>
          <w:sz w:val="28"/>
          <w:szCs w:val="28"/>
          <w:highlight w:val="none"/>
        </w:rPr>
      </w:pPr>
      <w:r>
        <w:rPr>
          <w:rFonts w:ascii="Arial" w:hAnsi="Arial" w:cs="Arial"/>
          <w:b/>
          <w:color w:val="auto"/>
          <w:sz w:val="28"/>
          <w:szCs w:val="28"/>
          <w:highlight w:val="none"/>
        </w:rPr>
      </w:r>
      <w:r/>
    </w:p>
    <w:p>
      <w:pPr>
        <w:pStyle w:val="661"/>
        <w:ind w:firstLine="281"/>
        <w:jc w:val="both"/>
        <w:spacing w:before="120" w:beforeAutospacing="0" w:after="120" w:afterAutospacing="0" w:line="360" w:lineRule="auto"/>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lang w:eastAsia="zh-CN"/>
        </w:rPr>
        <w:t xml:space="preserve">滨海县黄河故道风貌带片区规划编制项目</w:t>
      </w:r>
      <w:r/>
    </w:p>
    <w:p>
      <w:pPr>
        <w:pStyle w:val="661"/>
        <w:ind w:firstLine="281"/>
        <w:jc w:val="both"/>
        <w:spacing w:beforeAutospacing="0" w:afterAutospacing="0"/>
        <w:rPr>
          <w:rFonts w:hint="eastAsia" w:ascii="宋体" w:hAnsi="宋体" w:eastAsia="宋体" w:cs="宋体"/>
          <w:color w:val="auto"/>
          <w:sz w:val="22"/>
          <w:szCs w:val="22"/>
          <w:highlight w:val="none"/>
          <w:lang w:eastAsia="zh-CN"/>
        </w:rPr>
      </w:pPr>
      <w:r>
        <w:rPr>
          <w:rFonts w:hint="eastAsia" w:ascii="宋体" w:hAnsi="宋体" w:eastAsia="宋体" w:cs="宋体"/>
          <w:b/>
          <w:color w:val="auto"/>
          <w:sz w:val="28"/>
          <w:szCs w:val="28"/>
          <w:highlight w:val="none"/>
        </w:rPr>
        <w:t xml:space="preserve">项目编号：</w:t>
      </w:r>
      <w:r>
        <w:rPr>
          <w:rFonts w:hint="eastAsia" w:ascii="宋体" w:hAnsi="宋体" w:eastAsia="宋体" w:cs="宋体"/>
          <w:b/>
          <w:color w:val="auto"/>
          <w:sz w:val="28"/>
          <w:szCs w:val="28"/>
          <w:highlight w:val="none"/>
          <w:lang w:eastAsia="zh-CN"/>
        </w:rPr>
        <w:t xml:space="preserve">JSZC-320922-JSJS-G2025-0008</w:t>
      </w:r>
      <w:r/>
    </w:p>
    <w:p>
      <w:pPr>
        <w:pStyle w:val="661"/>
        <w:spacing w:beforeAutospacing="0" w:afterAutospacing="0" w:line="360" w:lineRule="auto"/>
        <w:rPr>
          <w:color w:val="auto"/>
          <w:highlight w:val="none"/>
        </w:rPr>
      </w:pPr>
      <w:r>
        <w:rPr>
          <w:color w:val="auto"/>
          <w:highlight w:val="none"/>
        </w:rPr>
        <w:t xml:space="preserve"> </w:t>
      </w:r>
      <w:r/>
    </w:p>
    <w:p>
      <w:pPr>
        <w:pStyle w:val="661"/>
        <w:spacing w:beforeAutospacing="0" w:afterAutospacing="0" w:line="360" w:lineRule="auto"/>
        <w:rPr>
          <w:color w:val="auto"/>
          <w:highlight w:val="none"/>
        </w:rPr>
      </w:pPr>
      <w:r>
        <w:rPr>
          <w:color w:val="auto"/>
          <w:highlight w:val="none"/>
        </w:rPr>
        <w:t xml:space="preserve"> </w:t>
      </w:r>
      <w:r/>
    </w:p>
    <w:p>
      <w:pPr>
        <w:pStyle w:val="661"/>
        <w:spacing w:beforeAutospacing="0" w:afterAutospacing="0" w:line="360" w:lineRule="auto"/>
        <w:rPr>
          <w:color w:val="auto"/>
          <w:highlight w:val="none"/>
        </w:rPr>
      </w:pPr>
      <w:r>
        <w:rPr>
          <w:color w:val="auto"/>
          <w:highlight w:val="none"/>
        </w:rPr>
        <w:t xml:space="preserve"> </w:t>
      </w:r>
      <w:r/>
    </w:p>
    <w:p>
      <w:pPr>
        <w:pStyle w:val="661"/>
        <w:spacing w:beforeAutospacing="0" w:afterAutospacing="0" w:line="360" w:lineRule="auto"/>
        <w:rPr>
          <w:color w:val="auto"/>
          <w:highlight w:val="none"/>
        </w:rPr>
      </w:pPr>
      <w:r>
        <w:rPr>
          <w:color w:val="auto"/>
          <w:highlight w:val="none"/>
        </w:rPr>
        <w:t xml:space="preserve"> </w:t>
      </w:r>
      <w:r/>
    </w:p>
    <w:p>
      <w:pPr>
        <w:pStyle w:val="661"/>
        <w:spacing w:beforeAutospacing="0" w:afterAutospacing="0" w:line="360" w:lineRule="auto"/>
        <w:rPr>
          <w:color w:val="auto"/>
          <w:highlight w:val="none"/>
        </w:rPr>
      </w:pPr>
      <w:r>
        <w:rPr>
          <w:color w:val="auto"/>
          <w:highlight w:val="none"/>
        </w:rPr>
        <w:t xml:space="preserve">  </w:t>
      </w:r>
      <w:r/>
    </w:p>
    <w:p>
      <w:pPr>
        <w:pStyle w:val="661"/>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采购单位：滨海县乡村振兴服务中心</w:t>
      </w:r>
      <w:r/>
    </w:p>
    <w:p>
      <w:pPr>
        <w:pStyle w:val="661"/>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661"/>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val="en-US" w:eastAsia="zh-CN"/>
        </w:rPr>
        <w:t xml:space="preserve">二〇二五</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十</w:t>
      </w:r>
      <w:r>
        <w:rPr>
          <w:rFonts w:ascii="Arial" w:hAnsi="Arial" w:cs="Arial"/>
          <w:b/>
          <w:color w:val="auto"/>
          <w:sz w:val="32"/>
          <w:szCs w:val="32"/>
          <w:highlight w:val="none"/>
        </w:rPr>
        <w:t xml:space="preserve">月</w:t>
      </w:r>
      <w:r/>
    </w:p>
    <w:p>
      <w:pPr>
        <w:pStyle w:val="661"/>
        <w:jc w:val="center"/>
        <w:spacing w:before="120" w:beforeAutospacing="0" w:after="120" w:afterAutospacing="0" w:line="360" w:lineRule="auto"/>
        <w:rPr>
          <w:rFonts w:ascii="Arial" w:hAnsi="Arial" w:cs="Arial"/>
          <w:color w:val="auto"/>
          <w:highlight w:val="none"/>
        </w:rPr>
      </w:pPr>
      <w:r>
        <w:rPr>
          <w:rFonts w:ascii="Arial" w:hAnsi="Arial" w:cs="Arial"/>
          <w:color w:val="auto"/>
          <w:highlight w:val="none"/>
        </w:rPr>
        <w:t xml:space="preserve">                        </w:t>
      </w:r>
      <w:r/>
    </w:p>
    <w:p>
      <w:pPr>
        <w:rPr>
          <w:rFonts w:ascii="Arial" w:hAnsi="Arial" w:cs="Arial"/>
          <w:color w:val="auto"/>
          <w:highlight w:val="none"/>
        </w:rPr>
      </w:pPr>
      <w:r>
        <w:rPr>
          <w:rFonts w:ascii="Arial" w:hAnsi="Arial" w:cs="Arial"/>
          <w:color w:val="auto"/>
          <w:highlight w:val="none"/>
        </w:rPr>
        <w:br w:type="page" w:clear="all"/>
      </w:r>
      <w:r/>
    </w:p>
    <w:sdt>
      <w:sdtPr>
        <w15:appearance w15:val="boundingBox"/>
        <w15:color w:val="dbdbdb"/>
        <w:id w:val="147468699"/>
        <w:docPartObj>
          <w:docPartGallery w:val="Table of Contents"/>
          <w:docPartUnique w:val="true"/>
        </w:docPartObj>
        <w:rPr>
          <w:rFonts w:ascii="宋体" w:hAnsi="宋体" w:eastAsia="宋体" w:cstheme="minorBidi"/>
          <w:color w:val="auto"/>
          <w:sz w:val="40"/>
          <w:szCs w:val="48"/>
          <w:highlight w:val="none"/>
          <w:lang w:val="en-US" w:eastAsia="zh-CN" w:bidi="ar-SA"/>
        </w:rPr>
      </w:sdtPr>
      <w:sdtContent>
        <w:p>
          <w:pPr>
            <w:ind w:left="0" w:right="0" w:firstLine="0"/>
            <w:jc w:val="center"/>
            <w:spacing w:before="0" w:after="0" w:line="240" w:lineRule="auto"/>
            <w:rPr>
              <w:rFonts w:ascii="宋体" w:hAnsi="宋体" w:eastAsia="宋体" w:cstheme="minorBidi"/>
              <w:color w:val="auto"/>
              <w:sz w:val="40"/>
              <w:szCs w:val="48"/>
              <w:highlight w:val="none"/>
              <w:lang w:val="en-US" w:eastAsia="zh-CN" w:bidi="ar-SA"/>
            </w:rPr>
          </w:pPr>
          <w:r>
            <w:rPr>
              <w:rFonts w:ascii="宋体" w:hAnsi="宋体" w:eastAsia="宋体" w:cstheme="minorBidi"/>
              <w:color w:val="auto"/>
              <w:sz w:val="40"/>
              <w:szCs w:val="48"/>
              <w:highlight w:val="none"/>
              <w:lang w:val="en-US" w:eastAsia="zh-CN" w:bidi="ar-SA"/>
            </w:rPr>
          </w:r>
          <w:r/>
        </w:p>
        <w:p>
          <w:pPr>
            <w:ind w:left="0" w:right="0" w:firstLine="0"/>
            <w:jc w:val="center"/>
            <w:spacing w:before="0" w:after="0" w:line="240" w:lineRule="auto"/>
            <w:rPr>
              <w:color w:val="auto"/>
              <w:sz w:val="40"/>
              <w:szCs w:val="48"/>
              <w:highlight w:val="none"/>
            </w:rPr>
          </w:pPr>
          <w:r>
            <w:rPr>
              <w:rFonts w:ascii="宋体" w:hAnsi="宋体" w:eastAsia="宋体"/>
              <w:color w:val="auto"/>
              <w:sz w:val="40"/>
              <w:szCs w:val="48"/>
              <w:highlight w:val="none"/>
            </w:rPr>
            <w:t xml:space="preserve">目录</w:t>
          </w:r>
          <w:r/>
        </w:p>
        <w:p>
          <w:pPr>
            <w:pStyle w:val="659"/>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_Toc26610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_Toc26610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59"/>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_Toc16503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第二章 </w:t>
          </w:r>
          <w:r>
            <w:rPr>
              <w:rFonts w:hint="eastAsia" w:ascii="宋体" w:hAnsi="宋体" w:eastAsia="宋体" w:cs="宋体"/>
              <w:bCs w:val="0"/>
              <w:color w:val="auto"/>
              <w:sz w:val="36"/>
              <w:szCs w:val="36"/>
              <w:highlight w:val="none"/>
              <w:lang w:eastAsia="zh-CN"/>
            </w:rPr>
            <w:t xml:space="preserve">投标供应商</w:t>
          </w:r>
          <w:r>
            <w:rPr>
              <w:rFonts w:hint="eastAsia" w:ascii="宋体" w:hAnsi="宋体" w:eastAsia="宋体" w:cs="宋体"/>
              <w:bCs w:val="0"/>
              <w:color w:val="auto"/>
              <w:sz w:val="36"/>
              <w:szCs w:val="36"/>
              <w:highlight w:val="none"/>
            </w:rPr>
            <w:t xml:space="preserve">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_Toc16503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6</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59"/>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_Toc3194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第三章 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_Toc3194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21</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59"/>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_Toc11181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第四章 </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_Toc11181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26</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59"/>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_Toc26134 </w:instrText>
          </w:r>
          <w:r>
            <w:rPr>
              <w:rFonts w:hint="eastAsia" w:ascii="宋体" w:hAnsi="宋体" w:eastAsia="宋体" w:cs="宋体"/>
              <w:color w:val="auto"/>
              <w:sz w:val="36"/>
              <w:szCs w:val="36"/>
              <w:highlight w:val="none"/>
            </w:rPr>
            <w:fldChar w:fldCharType="separate"/>
          </w:r>
          <w:r>
            <w:rPr>
              <w:rFonts w:hint="eastAsia" w:ascii="宋体" w:hAnsi="宋体" w:eastAsia="宋体" w:cs="宋体"/>
              <w:bCs w:val="0"/>
              <w:color w:val="auto"/>
              <w:sz w:val="36"/>
              <w:szCs w:val="36"/>
              <w:highlight w:val="none"/>
            </w:rPr>
            <w:t xml:space="preserve">第五章 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_Toc26134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35</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59"/>
            <w:keepLines w:val="0"/>
            <w:keepNext w:val="0"/>
            <w:pageBreakBefore w:val="0"/>
            <w:spacing w:before="157" w:after="157" w:line="360" w:lineRule="auto"/>
            <w:widowControl w:val="off"/>
            <w:tabs>
              <w:tab w:val="right" w:pos="9746" w:leader="dot"/>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HYPERLINK \l _Toc18305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第六章 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_Toc18305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43</w:t>
          </w:r>
          <w:r>
            <w:rPr>
              <w:rFonts w:hint="eastAsia" w:ascii="宋体" w:hAnsi="宋体" w:eastAsia="宋体" w:cs="宋体"/>
              <w:color w:val="auto"/>
              <w:sz w:val="36"/>
              <w:szCs w:val="36"/>
              <w:highlight w:val="none"/>
            </w:rPr>
            <w:fldChar w:fldCharType="end"/>
          </w:r>
          <w:r>
            <w:rPr>
              <w:rFonts w:hint="eastAsia" w:ascii="宋体" w:hAnsi="宋体" w:eastAsia="宋体" w:cs="宋体"/>
              <w:color w:val="auto"/>
              <w:sz w:val="36"/>
              <w:szCs w:val="36"/>
              <w:highlight w:val="none"/>
            </w:rPr>
            <w:fldChar w:fldCharType="end"/>
          </w:r>
          <w:r/>
        </w:p>
        <w:p>
          <w:pPr>
            <w:pStyle w:val="660"/>
            <w:tabs>
              <w:tab w:val="right" w:pos="9746" w:leader="dot"/>
            </w:tabs>
            <w:rPr>
              <w:color w:val="auto"/>
              <w:highlight w:val="none"/>
            </w:rPr>
          </w:pPr>
          <w:r>
            <w:rPr>
              <w:color w:val="auto"/>
              <w:highlight w:val="none"/>
            </w:rPr>
          </w:r>
          <w:r/>
        </w:p>
        <w:p>
          <w:pPr>
            <w:rPr>
              <w:rFonts w:asciiTheme="minorHAnsi" w:hAnsiTheme="minorHAnsi" w:eastAsiaTheme="minorEastAsia" w:cstheme="minorBidi"/>
              <w:color w:val="auto"/>
              <w:sz w:val="21"/>
              <w:szCs w:val="24"/>
              <w:highlight w:val="none"/>
              <w:lang w:val="en-US" w:eastAsia="zh-CN" w:bidi="ar-SA"/>
            </w:rPr>
          </w:pPr>
          <w:r>
            <w:rPr>
              <w:color w:val="auto"/>
              <w:highlight w:val="none"/>
            </w:rPr>
            <w:fldChar w:fldCharType="end"/>
          </w:r>
          <w:r/>
        </w:p>
      </w:sdtContent>
    </w:sdt>
    <w:p>
      <w:pPr>
        <w:pStyle w:val="651"/>
        <w:rPr>
          <w:color w:val="auto"/>
          <w:highlight w:val="none"/>
        </w:rPr>
      </w:pPr>
      <w:r>
        <w:rPr>
          <w:color w:val="auto"/>
          <w:highlight w:val="none"/>
        </w:rPr>
      </w:r>
      <w:r/>
    </w:p>
    <w:p>
      <w:pPr>
        <w:pStyle w:val="661"/>
        <w:jc w:val="center"/>
        <w:keepLines w:val="0"/>
        <w:keepNext/>
        <w:pageBreakBefore w:val="0"/>
        <w:spacing w:beforeAutospacing="0" w:afterAutospacing="0" w:line="360" w:lineRule="auto"/>
        <w:widowControl w:val="off"/>
        <w:rPr>
          <w:rFonts w:hint="eastAsia" w:ascii="方正小标宋简体" w:hAnsi="方正小标宋简体" w:eastAsia="方正小标宋简体" w:cs="方正小标宋简体"/>
          <w:color w:val="auto"/>
          <w:sz w:val="44"/>
          <w:szCs w:val="44"/>
          <w:highlight w:val="none"/>
        </w:rPr>
        <w:sectPr>
          <w:footnotePr/>
          <w:endnotePr/>
          <w:type w:val="nextPage"/>
          <w:pgSz w:w="11906" w:h="16838" w:orient="portrait"/>
          <w:pgMar w:top="1440" w:right="1080" w:bottom="1440" w:left="1080" w:header="851" w:footer="992" w:gutter="0"/>
          <w:pgNumType w:start="1"/>
          <w:cols w:num="1" w:sep="0" w:space="425" w:equalWidth="1"/>
          <w:docGrid w:linePitch="360"/>
        </w:sectPr>
        <w:outlineLvl w:val="0"/>
      </w:pPr>
      <w:r/>
      <w:bookmarkStart w:id="0" w:name="_Toc10798"/>
      <w:r/>
      <w:r/>
    </w:p>
    <w:p>
      <w:pPr>
        <w:pStyle w:val="661"/>
        <w:jc w:val="center"/>
        <w:keepLines w:val="0"/>
        <w:keepNext/>
        <w:pageBreakBefore w:val="0"/>
        <w:spacing w:beforeAutospacing="0" w:afterAutospacing="0" w:line="360" w:lineRule="auto"/>
        <w:widowControl w:val="off"/>
        <w:rPr>
          <w:rFonts w:hint="eastAsia" w:ascii="方正小标宋简体" w:hAnsi="方正小标宋简体" w:eastAsia="方正小标宋简体" w:cs="方正小标宋简体"/>
          <w:color w:val="auto"/>
          <w:highlight w:val="none"/>
          <w:lang w:val="en-US" w:eastAsia="zh-CN"/>
        </w:rPr>
        <w:outlineLvl w:val="0"/>
      </w:pPr>
      <w:r/>
      <w:bookmarkStart w:id="1" w:name="_Toc26610"/>
      <w:r>
        <w:rPr>
          <w:rFonts w:hint="eastAsia" w:ascii="方正小标宋简体" w:hAnsi="方正小标宋简体" w:eastAsia="方正小标宋简体" w:cs="方正小标宋简体"/>
          <w:color w:val="auto"/>
          <w:sz w:val="44"/>
          <w:szCs w:val="44"/>
          <w:highlight w:val="none"/>
        </w:rPr>
        <w:t xml:space="preserve">第一章 </w:t>
      </w:r>
      <w:r>
        <w:rPr>
          <w:rFonts w:hint="eastAsia" w:ascii="方正小标宋简体" w:hAnsi="方正小标宋简体" w:eastAsia="方正小标宋简体" w:cs="方正小标宋简体"/>
          <w:color w:val="auto"/>
          <w:sz w:val="44"/>
          <w:szCs w:val="44"/>
          <w:highlight w:val="none"/>
          <w:lang w:val="en-US" w:eastAsia="zh-CN"/>
        </w:rPr>
        <w:t xml:space="preserve">招标公告</w:t>
      </w:r>
      <w:bookmarkEnd w:id="0"/>
      <w:r/>
      <w:bookmarkEnd w:id="1"/>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auto"/>
          <w:sz w:val="24"/>
          <w:szCs w:val="24"/>
          <w:highlight w:val="none"/>
        </w:rPr>
        <w:t xml:space="preserve">项目概况</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b w:val="0"/>
          <w:bCs/>
          <w:color w:val="auto"/>
          <w:sz w:val="24"/>
          <w:szCs w:val="24"/>
          <w:highlight w:val="none"/>
          <w:u w:val="single"/>
          <w:lang w:val="en-US" w:eastAsia="zh-CN" w:bidi="ar-SA"/>
        </w:rPr>
        <w:t xml:space="preserve">滨海县黄河故道风貌带片区规划编制项目</w:t>
      </w:r>
      <w:r>
        <w:rPr>
          <w:rFonts w:hint="eastAsia" w:ascii="仿宋" w:hAnsi="仿宋" w:eastAsia="仿宋" w:cs="仿宋"/>
          <w:color w:val="auto"/>
          <w:sz w:val="24"/>
          <w:szCs w:val="24"/>
          <w:highlight w:val="none"/>
        </w:rPr>
        <w:t xml:space="preserve">招标项目的潜在</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可在</w:t>
      </w:r>
      <w:r>
        <w:rPr>
          <w:rFonts w:hint="eastAsia" w:ascii="仿宋" w:hAnsi="仿宋" w:eastAsia="仿宋" w:cs="仿宋"/>
          <w:i w:val="0"/>
          <w:iCs w:val="0"/>
          <w:caps w:val="0"/>
          <w:color w:val="auto"/>
          <w:spacing w:val="0"/>
          <w:sz w:val="24"/>
          <w:szCs w:val="24"/>
          <w:highlight w:val="none"/>
          <w:shd w:val="clear" w:color="auto" w:fill="ffffff"/>
        </w:rPr>
        <w:t xml:space="preserve">“苏采云”系统内免费下载（</w:t>
      </w:r>
      <w:r>
        <w:rPr>
          <w:rFonts w:hint="eastAsia" w:ascii="仿宋" w:hAnsi="仿宋" w:eastAsia="仿宋" w:cs="仿宋"/>
          <w:i w:val="0"/>
          <w:iCs w:val="0"/>
          <w:caps w:val="0"/>
          <w:color w:val="auto"/>
          <w:spacing w:val="0"/>
          <w:sz w:val="24"/>
          <w:szCs w:val="24"/>
          <w:highlight w:val="none"/>
          <w:shd w:val="clear" w:color="auto" w:fill="ffffff"/>
          <w:lang w:eastAsia="zh-CN"/>
        </w:rPr>
        <w:t xml:space="preserve">投标供应商</w:t>
      </w:r>
      <w:r>
        <w:rPr>
          <w:rFonts w:hint="eastAsia" w:ascii="仿宋" w:hAnsi="仿宋" w:eastAsia="仿宋" w:cs="仿宋"/>
          <w:i w:val="0"/>
          <w:iCs w:val="0"/>
          <w:caps w:val="0"/>
          <w:color w:val="auto"/>
          <w:spacing w:val="0"/>
          <w:sz w:val="24"/>
          <w:szCs w:val="24"/>
          <w:highlight w:val="none"/>
          <w:shd w:val="clear" w:color="auto" w:fill="ffffff"/>
        </w:rPr>
        <w:t xml:space="preserve">必须在苏采云系统中获取采购文件，方能参与政府采购项目） </w:t>
      </w:r>
      <w:r>
        <w:rPr>
          <w:rFonts w:hint="eastAsia" w:ascii="仿宋" w:hAnsi="仿宋" w:eastAsia="仿宋" w:cs="仿宋"/>
          <w:color w:val="auto"/>
          <w:sz w:val="24"/>
          <w:szCs w:val="24"/>
          <w:highlight w:val="none"/>
        </w:rPr>
        <w:t xml:space="preserve">，并于</w:t>
      </w:r>
      <w:r>
        <w:rPr>
          <w:rFonts w:hint="eastAsia" w:ascii="仿宋" w:hAnsi="仿宋" w:eastAsia="仿宋" w:cs="仿宋"/>
          <w:color w:val="auto"/>
          <w:sz w:val="24"/>
          <w:szCs w:val="24"/>
          <w:highlight w:val="none"/>
          <w:u w:val="single"/>
          <w:lang w:val="en-US" w:eastAsia="zh-CN"/>
        </w:rPr>
        <w:t xml:space="preserve">2025年11月19日9点00分</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北京时间）前递交投标文件。</w:t>
      </w:r>
      <w:r/>
    </w:p>
    <w:p>
      <w:pPr>
        <w:pStyle w:val="661"/>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 w:name="_Toc12143"/>
      <w:r/>
      <w:bookmarkStart w:id="3" w:name="_Toc28359002"/>
      <w:r/>
      <w:bookmarkStart w:id="4" w:name="_Toc10391"/>
      <w:r/>
      <w:bookmarkStart w:id="5" w:name="_Toc35393621"/>
      <w:r/>
      <w:bookmarkStart w:id="6" w:name="_Hlk24379207"/>
      <w:r/>
      <w:bookmarkStart w:id="7" w:name="_Toc35393790"/>
      <w:r/>
      <w:bookmarkStart w:id="8" w:name="_Toc38985263"/>
      <w:r/>
      <w:bookmarkStart w:id="9" w:name="_Toc28359079"/>
      <w:r>
        <w:rPr>
          <w:rFonts w:hint="eastAsia" w:ascii="仿宋" w:hAnsi="仿宋" w:eastAsia="仿宋" w:cs="仿宋"/>
          <w:b/>
          <w:color w:val="auto"/>
          <w:sz w:val="24"/>
          <w:szCs w:val="24"/>
          <w:highlight w:val="none"/>
        </w:rPr>
        <w:t xml:space="preserve">一、项目基本情况</w:t>
      </w:r>
      <w:bookmarkEnd w:id="2"/>
      <w:r/>
      <w:bookmarkEnd w:id="3"/>
      <w:r/>
      <w:bookmarkEnd w:id="4"/>
      <w:r/>
      <w:bookmarkEnd w:id="5"/>
      <w:r/>
      <w:bookmarkEnd w:id="6"/>
      <w:r/>
      <w:bookmarkEnd w:id="7"/>
      <w:r/>
      <w:bookmarkEnd w:id="8"/>
      <w:r/>
      <w:bookmarkEnd w:id="9"/>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JSZC-320922-JSJS-G2025-0008</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r>
        <w:rPr>
          <w:rFonts w:hint="eastAsia" w:ascii="仿宋" w:hAnsi="仿宋" w:eastAsia="仿宋" w:cs="仿宋"/>
          <w:color w:val="auto"/>
          <w:sz w:val="24"/>
          <w:szCs w:val="24"/>
          <w:highlight w:val="none"/>
          <w:u w:val="single"/>
          <w:lang w:eastAsia="zh-CN"/>
        </w:rPr>
        <w:t xml:space="preserve">滨海县黄河故道风貌带片区规划编制项目</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r>
        <w:rPr>
          <w:rFonts w:hint="eastAsia" w:ascii="仿宋" w:hAnsi="仿宋" w:eastAsia="仿宋" w:cs="仿宋"/>
          <w:i w:val="0"/>
          <w:iCs w:val="0"/>
          <w:caps w:val="0"/>
          <w:color w:val="auto"/>
          <w:spacing w:val="0"/>
          <w:sz w:val="24"/>
          <w:szCs w:val="24"/>
          <w:highlight w:val="none"/>
          <w:shd w:val="clear" w:color="auto" w:fill="ffffff"/>
        </w:rPr>
        <w:t xml:space="preserve">采购方式：</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公开招标</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.预算金额：</w:t>
      </w:r>
      <w:r>
        <w:rPr>
          <w:rFonts w:hint="eastAsia" w:ascii="仿宋" w:hAnsi="仿宋" w:eastAsia="仿宋" w:cs="仿宋"/>
          <w:color w:val="auto"/>
          <w:sz w:val="24"/>
          <w:szCs w:val="24"/>
          <w:highlight w:val="none"/>
          <w:lang w:val="en-US" w:eastAsia="zh-CN"/>
        </w:rPr>
        <w:t xml:space="preserve">70万元</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最高限价：</w:t>
      </w:r>
      <w:r>
        <w:rPr>
          <w:rFonts w:hint="eastAsia" w:ascii="仿宋" w:hAnsi="仿宋" w:eastAsia="仿宋" w:cs="仿宋"/>
          <w:color w:val="auto"/>
          <w:sz w:val="24"/>
          <w:szCs w:val="24"/>
          <w:highlight w:val="none"/>
          <w:lang w:val="en-US" w:eastAsia="zh-CN"/>
        </w:rPr>
        <w:t xml:space="preserve">70万元</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.采购需求（简介）：为贯彻习近平总书记“千万工程”重要指示，落实《江苏省宜居宜业和美乡村建设指南》等政策，推进乡村从“点状振兴” 转向连片整治提升，编制宜居宜业和美乡村片区内8个村的规划(规划时统筹考虑5个已创成和美</w:t>
      </w:r>
      <w:r>
        <w:rPr>
          <w:rFonts w:hint="eastAsia" w:ascii="仿宋" w:hAnsi="仿宋" w:eastAsia="仿宋" w:cs="仿宋"/>
          <w:color w:val="auto"/>
          <w:sz w:val="24"/>
          <w:szCs w:val="24"/>
          <w:highlight w:val="none"/>
          <w:lang w:eastAsia="zh-CN"/>
        </w:rPr>
        <w:t xml:space="preserve">乡村</w:t>
      </w:r>
      <w:r>
        <w:rPr>
          <w:rFonts w:hint="eastAsia" w:ascii="仿宋" w:hAnsi="仿宋" w:eastAsia="仿宋" w:cs="仿宋"/>
          <w:color w:val="auto"/>
          <w:sz w:val="24"/>
          <w:szCs w:val="24"/>
          <w:highlight w:val="none"/>
        </w:rPr>
        <w:t xml:space="preserve">)。实施内容含资源评估、产业引导、定位路径规划、设施环境建设及实施治理等</w:t>
      </w:r>
      <w:r>
        <w:rPr>
          <w:rFonts w:hint="eastAsia" w:ascii="仿宋" w:hAnsi="仿宋" w:eastAsia="仿宋" w:cs="仿宋"/>
          <w:color w:val="auto"/>
          <w:sz w:val="24"/>
          <w:szCs w:val="24"/>
          <w:highlight w:val="none"/>
          <w:lang w:eastAsia="zh-CN"/>
        </w:rPr>
        <w:t xml:space="preserve">。</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.合同履行期限：</w:t>
      </w:r>
      <w:r>
        <w:rPr>
          <w:rFonts w:hint="eastAsia" w:ascii="仿宋" w:hAnsi="仿宋" w:eastAsia="仿宋" w:cs="仿宋"/>
          <w:color w:val="auto"/>
          <w:sz w:val="24"/>
          <w:szCs w:val="24"/>
          <w:highlight w:val="none"/>
          <w:lang w:val="en-US" w:eastAsia="zh-CN"/>
        </w:rPr>
        <w:t xml:space="preserve">45日历天（合同签订后的45日历天内完成全部服务内容）内提交经评审通过的成果资料，并提供不少于2年的跟踪服务</w:t>
      </w:r>
      <w:r>
        <w:rPr>
          <w:rFonts w:hint="eastAsia" w:ascii="仿宋" w:hAnsi="仿宋" w:eastAsia="仿宋" w:cs="仿宋"/>
          <w:color w:val="auto"/>
          <w:sz w:val="24"/>
          <w:szCs w:val="24"/>
          <w:highlight w:val="none"/>
        </w:rPr>
        <w:t xml:space="preserve">。</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本项目（是/否）接受联合体参与</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lang w:val="en-US" w:eastAsia="zh-CN"/>
        </w:rPr>
        <w:t xml:space="preserve">。</w:t>
      </w:r>
      <w:r/>
    </w:p>
    <w:p>
      <w:pPr>
        <w:pStyle w:val="661"/>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10" w:name="_Toc35393622"/>
      <w:r/>
      <w:bookmarkStart w:id="11" w:name="_Toc38985264"/>
      <w:r/>
      <w:bookmarkStart w:id="12" w:name="_Toc28359080"/>
      <w:r/>
      <w:bookmarkStart w:id="13" w:name="_Toc10554"/>
      <w:r/>
      <w:bookmarkStart w:id="14" w:name="_Toc28359003"/>
      <w:r/>
      <w:bookmarkStart w:id="15" w:name="_Toc24897"/>
      <w:r/>
      <w:bookmarkStart w:id="16" w:name="_Toc35393791"/>
      <w:r>
        <w:rPr>
          <w:rFonts w:hint="eastAsia" w:ascii="仿宋" w:hAnsi="仿宋" w:eastAsia="仿宋" w:cs="仿宋"/>
          <w:b/>
          <w:color w:val="auto"/>
          <w:sz w:val="24"/>
          <w:szCs w:val="24"/>
          <w:highlight w:val="none"/>
        </w:rPr>
        <w:t xml:space="preserve">二、申请人的资格要求：</w:t>
      </w:r>
      <w:bookmarkEnd w:id="10"/>
      <w:r/>
      <w:bookmarkEnd w:id="11"/>
      <w:r/>
      <w:bookmarkEnd w:id="12"/>
      <w:r/>
      <w:bookmarkEnd w:id="13"/>
      <w:r/>
      <w:bookmarkEnd w:id="14"/>
      <w:r/>
      <w:bookmarkEnd w:id="15"/>
      <w:r/>
      <w:bookmarkEnd w:id="16"/>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1.满足《中华人民共和国政府采购法》第二十二条规定，并提供下列材料：</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法人或者其他组织的营业执照等证明文件，自然人的身份证明；</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1.2上一年度的财务状况报</w:t>
      </w:r>
      <w:r>
        <w:rPr>
          <w:rFonts w:hint="eastAsia" w:ascii="仿宋" w:hAnsi="仿宋" w:eastAsia="仿宋" w:cs="仿宋"/>
          <w:color w:val="auto"/>
          <w:sz w:val="24"/>
          <w:szCs w:val="24"/>
          <w:highlight w:val="none"/>
          <w:lang w:val="en-US" w:eastAsia="zh-CN"/>
        </w:rPr>
        <w:t xml:space="preserve">告</w:t>
      </w:r>
      <w:r>
        <w:rPr>
          <w:rFonts w:hint="eastAsia" w:ascii="仿宋" w:hAnsi="仿宋" w:eastAsia="仿宋" w:cs="仿宋"/>
          <w:color w:val="auto"/>
          <w:sz w:val="24"/>
          <w:szCs w:val="24"/>
          <w:highlight w:val="none"/>
        </w:rPr>
        <w:t xml:space="preserve">（成立不满一年无需提供）；</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具备履行合同所必需的设备和专业技术能力的书面声明；</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.5参加政府采购活动前3年内在经营活动中没有重大违法记录的书面声明。</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1.6法律、行政法规规定的其他条件。</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w:t>
      </w:r>
      <w:r>
        <w:rPr>
          <w:rFonts w:hint="eastAsia" w:ascii="仿宋" w:hAnsi="仿宋" w:eastAsia="仿宋" w:cs="仿宋"/>
          <w:color w:val="auto"/>
          <w:sz w:val="24"/>
          <w:szCs w:val="24"/>
          <w:highlight w:val="none"/>
        </w:rPr>
        <w:t xml:space="preserve">单位负责人为同一人或者存在直接控股、管理关系的不同供应商，不得参加同一合同项下的政府采购活动。</w:t>
      </w:r>
      <w:r/>
    </w:p>
    <w:p>
      <w:pPr>
        <w:pStyle w:val="661"/>
        <w:ind w:firstLine="480"/>
        <w:jc w:val="both"/>
        <w:pageBreakBefore w:val="0"/>
        <w:spacing w:beforeAutospacing="0" w:afterAutospacing="0"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落实政府采购政策需满足的资格要求：本项目（是/否）属于专门面向中小企业采购的项目：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否</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pageBreakBefore w:val="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本项目的特定资格要求</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3.1</w:t>
      </w:r>
      <w:r>
        <w:rPr>
          <w:rFonts w:hint="eastAsia" w:ascii="仿宋" w:hAnsi="仿宋" w:eastAsia="仿宋" w:cs="仿宋"/>
          <w:color w:val="auto"/>
          <w:sz w:val="24"/>
          <w:szCs w:val="24"/>
          <w:highlight w:val="none"/>
        </w:rPr>
        <w:t xml:space="preserve">投标供应商资质类别和等级要求：</w:t>
      </w:r>
      <w:r>
        <w:rPr>
          <w:rFonts w:hint="eastAsia" w:ascii="仿宋" w:hAnsi="仿宋" w:eastAsia="仿宋" w:cs="仿宋"/>
          <w:color w:val="auto"/>
          <w:sz w:val="24"/>
          <w:szCs w:val="24"/>
          <w:highlight w:val="none"/>
          <w:lang w:val="en-US" w:eastAsia="zh-CN"/>
        </w:rPr>
        <w:t xml:space="preserve">投标供应商</w:t>
      </w:r>
      <w:r>
        <w:rPr>
          <w:rFonts w:hint="eastAsia" w:ascii="仿宋" w:hAnsi="仿宋" w:eastAsia="仿宋" w:cs="仿宋"/>
          <w:color w:val="auto"/>
          <w:sz w:val="24"/>
          <w:szCs w:val="24"/>
          <w:highlight w:val="none"/>
        </w:rPr>
        <w:t xml:space="preserve">具备有效期内的城乡规划编制乙级及以上资质</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3.2</w:t>
      </w:r>
      <w:r>
        <w:rPr>
          <w:rFonts w:hint="eastAsia" w:ascii="仿宋" w:hAnsi="仿宋" w:eastAsia="仿宋" w:cs="仿宋"/>
          <w:color w:val="auto"/>
          <w:sz w:val="24"/>
          <w:szCs w:val="24"/>
          <w:highlight w:val="none"/>
        </w:rPr>
        <w:t xml:space="preserve">未被“信用中国”网站（www.creditchina.gov.cn）列入失信被执行人、重大税收违法案件当事人名单、政府采购严重失信行为记录名单。</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3.3</w:t>
      </w:r>
      <w:r>
        <w:rPr>
          <w:rFonts w:hint="eastAsia" w:ascii="仿宋" w:hAnsi="仿宋" w:eastAsia="仿宋" w:cs="仿宋"/>
          <w:color w:val="auto"/>
          <w:sz w:val="24"/>
          <w:szCs w:val="24"/>
          <w:highlight w:val="none"/>
        </w:rPr>
        <w:t xml:space="preserve">单位负责人为同一人或者存在直接控股、管理关系的不同供应商，不得参加同一合同项下的政府采购活动。</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本项目（是/否）接受联合体投标：</w:t>
      </w:r>
      <w:r>
        <w:rPr>
          <w:rFonts w:hint="eastAsia" w:ascii="仿宋" w:hAnsi="仿宋" w:eastAsia="仿宋" w:cs="仿宋"/>
          <w:color w:val="auto"/>
          <w:sz w:val="24"/>
          <w:szCs w:val="24"/>
          <w:highlight w:val="none"/>
          <w:u w:val="single"/>
        </w:rPr>
        <w:t xml:space="preserve">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必须具备独立完成该项目的能力，中标后不允许分包或转包。</w:t>
      </w:r>
      <w:r/>
    </w:p>
    <w:p>
      <w:pPr>
        <w:pStyle w:val="661"/>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lang w:eastAsia="zh-CN"/>
        </w:rPr>
        <w:outlineLvl w:val="0"/>
      </w:pPr>
      <w:r/>
      <w:bookmarkStart w:id="17" w:name="_Toc18300"/>
      <w:r/>
      <w:bookmarkStart w:id="18" w:name="_Toc13511"/>
      <w:r>
        <w:rPr>
          <w:rFonts w:hint="eastAsia" w:ascii="仿宋" w:hAnsi="仿宋" w:eastAsia="仿宋" w:cs="仿宋"/>
          <w:b/>
          <w:color w:val="auto"/>
          <w:sz w:val="24"/>
          <w:szCs w:val="24"/>
          <w:highlight w:val="none"/>
        </w:rPr>
        <w:t xml:space="preserve">三、获取</w:t>
      </w:r>
      <w:bookmarkEnd w:id="17"/>
      <w:r>
        <w:rPr>
          <w:rFonts w:hint="eastAsia" w:ascii="仿宋" w:hAnsi="仿宋" w:eastAsia="仿宋" w:cs="仿宋"/>
          <w:b/>
          <w:color w:val="auto"/>
          <w:sz w:val="24"/>
          <w:szCs w:val="24"/>
          <w:highlight w:val="none"/>
          <w:lang w:eastAsia="zh-CN"/>
        </w:rPr>
        <w:t xml:space="preserve">采购文件</w:t>
      </w:r>
      <w:bookmarkEnd w:id="18"/>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bookmarkStart w:id="19" w:name="_Toc35393624"/>
      <w:r/>
      <w:bookmarkStart w:id="20" w:name="_Toc38985266"/>
      <w:r/>
      <w:bookmarkStart w:id="21" w:name="_Toc28359082"/>
      <w:r/>
      <w:bookmarkStart w:id="22" w:name="_Toc28359005"/>
      <w:r/>
      <w:bookmarkStart w:id="23" w:name="_Toc35393793"/>
      <w:r>
        <w:rPr>
          <w:rFonts w:hint="eastAsia" w:ascii="仿宋" w:hAnsi="仿宋" w:eastAsia="仿宋" w:cs="仿宋"/>
          <w:color w:val="auto"/>
          <w:sz w:val="24"/>
          <w:szCs w:val="24"/>
          <w:highlight w:val="none"/>
        </w:rPr>
        <w:t xml:space="preserve">1.时间</w:t>
      </w:r>
      <w:r>
        <w:rPr>
          <w:rFonts w:hint="eastAsia" w:ascii="仿宋" w:hAnsi="仿宋" w:eastAsia="仿宋" w:cs="仿宋"/>
          <w:color w:val="auto"/>
          <w:sz w:val="24"/>
          <w:szCs w:val="24"/>
          <w:highlight w:val="none"/>
          <w:lang w:val="en-US" w:eastAsia="zh-CN" w:bidi="ar-SA"/>
        </w:rPr>
        <w:t xml:space="preserve">：</w:t>
      </w:r>
      <w:bookmarkEnd w:id="19"/>
      <w:r/>
      <w:bookmarkEnd w:id="20"/>
      <w:r/>
      <w:bookmarkEnd w:id="21"/>
      <w:r/>
      <w:bookmarkEnd w:id="22"/>
      <w:r/>
      <w:bookmarkEnd w:id="23"/>
      <w:r>
        <w:rPr>
          <w:rFonts w:hint="eastAsia" w:ascii="仿宋" w:hAnsi="仿宋" w:eastAsia="仿宋" w:cs="仿宋"/>
          <w:color w:val="auto"/>
          <w:sz w:val="24"/>
          <w:szCs w:val="24"/>
          <w:highlight w:val="none"/>
          <w:lang w:val="en-US" w:eastAsia="zh-CN" w:bidi="ar-SA"/>
        </w:rPr>
        <w:t xml:space="preserve">自采购文件公告发布之日起5个工作日。</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2.地点：“苏采云”系统内免费下载（投标供应商必须在苏采云系统中获取采购文件，方能参与政府采购项目）；</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4.售价：0元</w:t>
      </w:r>
      <w:r/>
    </w:p>
    <w:p>
      <w:pPr>
        <w:pStyle w:val="661"/>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4" w:name="_Toc10800"/>
      <w:r/>
      <w:bookmarkStart w:id="25" w:name="_Toc8298"/>
      <w:r>
        <w:rPr>
          <w:rFonts w:hint="eastAsia" w:ascii="仿宋" w:hAnsi="仿宋" w:eastAsia="仿宋" w:cs="仿宋"/>
          <w:b/>
          <w:color w:val="auto"/>
          <w:sz w:val="24"/>
          <w:szCs w:val="24"/>
          <w:highlight w:val="none"/>
        </w:rPr>
        <w:t xml:space="preserve">四、提交投标文件截止时间、开标时间和地点</w:t>
      </w:r>
      <w:bookmarkEnd w:id="24"/>
      <w:r/>
      <w:bookmarkEnd w:id="25"/>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bidi="ar-SA"/>
        </w:rPr>
        <w:t xml:space="preserve">时间：2025年11月19日9点00分（北京时间）。</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2.地点：苏采云“不见面”开标大厅 。</w:t>
      </w:r>
      <w:r/>
    </w:p>
    <w:p>
      <w:pPr>
        <w:pStyle w:val="661"/>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26" w:name="_Toc38985267"/>
      <w:r/>
      <w:bookmarkStart w:id="27" w:name="_Toc35393625"/>
      <w:r/>
      <w:bookmarkStart w:id="28" w:name="_Toc28359084"/>
      <w:r/>
      <w:bookmarkStart w:id="29" w:name="_Toc35393794"/>
      <w:r/>
      <w:bookmarkStart w:id="30" w:name="_Toc28359007"/>
      <w:r/>
      <w:bookmarkStart w:id="31" w:name="_Toc14000"/>
      <w:r/>
      <w:bookmarkStart w:id="32" w:name="_Toc118"/>
      <w:r>
        <w:rPr>
          <w:rFonts w:hint="eastAsia" w:ascii="仿宋" w:hAnsi="仿宋" w:eastAsia="仿宋" w:cs="仿宋"/>
          <w:b/>
          <w:color w:val="auto"/>
          <w:sz w:val="24"/>
          <w:szCs w:val="24"/>
          <w:highlight w:val="none"/>
        </w:rPr>
        <w:t xml:space="preserve">五、公告期限</w:t>
      </w:r>
      <w:bookmarkEnd w:id="26"/>
      <w:r/>
      <w:bookmarkEnd w:id="27"/>
      <w:r/>
      <w:bookmarkEnd w:id="28"/>
      <w:r/>
      <w:bookmarkEnd w:id="29"/>
      <w:r/>
      <w:bookmarkEnd w:id="30"/>
      <w:r/>
      <w:bookmarkEnd w:id="31"/>
      <w:r/>
      <w:bookmarkEnd w:id="32"/>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3" w:name="_Toc35393795"/>
      <w:r/>
      <w:bookmarkStart w:id="34" w:name="_Toc38985268"/>
      <w:r/>
      <w:bookmarkStart w:id="35" w:name="_Toc35393626"/>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自本公告发布之日起5个工作日。</w:t>
      </w:r>
      <w:bookmarkEnd w:id="33"/>
      <w:r/>
      <w:bookmarkEnd w:id="34"/>
      <w:r/>
      <w:bookmarkEnd w:id="35"/>
      <w:r/>
      <w:r/>
    </w:p>
    <w:p>
      <w:pPr>
        <w:pStyle w:val="661"/>
        <w:ind w:firstLine="482"/>
        <w:jc w:val="both"/>
        <w:keepLines/>
        <w:keepNext/>
        <w:pageBreakBefore w:val="0"/>
        <w:spacing w:beforeAutospacing="0" w:afterAutospacing="0" w:line="520" w:lineRule="exact"/>
        <w:rPr>
          <w:rFonts w:hint="eastAsia" w:ascii="仿宋" w:hAnsi="仿宋" w:eastAsia="仿宋" w:cs="仿宋"/>
          <w:color w:val="auto"/>
          <w:sz w:val="24"/>
          <w:szCs w:val="24"/>
          <w:highlight w:val="none"/>
        </w:rPr>
        <w:outlineLvl w:val="0"/>
      </w:pPr>
      <w:r/>
      <w:bookmarkStart w:id="36" w:name="_Toc1246"/>
      <w:r/>
      <w:bookmarkStart w:id="37" w:name="_Toc7700"/>
      <w:r>
        <w:rPr>
          <w:rFonts w:hint="eastAsia" w:ascii="仿宋" w:hAnsi="仿宋" w:eastAsia="仿宋" w:cs="仿宋"/>
          <w:b/>
          <w:color w:val="auto"/>
          <w:sz w:val="24"/>
          <w:szCs w:val="24"/>
          <w:highlight w:val="none"/>
        </w:rPr>
        <w:t xml:space="preserve">六、其他补充事宜</w:t>
      </w:r>
      <w:bookmarkEnd w:id="36"/>
      <w:r/>
      <w:bookmarkEnd w:id="37"/>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8" w:name="_Toc2835901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在盐城市政府采购网点击【办事指南】-【供应商参与政府采购活动相关资料】。</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2.2 潜在投标供应商访问“苏采云”系统方法：江苏省政府采购网首页-“苏采云”链接。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如潜在投标供应商未按上述要求操作，将自行承担所产生的风险。</w:t>
      </w:r>
      <w:r/>
    </w:p>
    <w:p>
      <w:pPr>
        <w:numPr>
          <w:ilvl w:val="0"/>
          <w:numId w:val="1"/>
        </w:numPr>
        <w:ind w:firstLine="480"/>
        <w:jc w:val="left"/>
        <w:keepLines w:val="0"/>
        <w:keepNext w:val="0"/>
        <w:pageBreakBefore w:val="0"/>
        <w:spacing w:line="5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有关本次招标的事项若存在变动或修改，敬请及时关注“中国政府采购网”“江苏政府采购网”“盐城市政府采购网”“滨海县人民政府网”发布的更正公告。</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ind w:firstLine="480"/>
        <w:keepLines w:val="0"/>
        <w:keepNext w:val="0"/>
        <w:pageBreakBefore w:val="0"/>
        <w:spacing w:line="520" w:lineRule="exact"/>
        <w:widowControl w:val="off"/>
        <w:rPr>
          <w:rFonts w:hint="eastAsia" w:ascii="仿宋" w:hAnsi="仿宋" w:eastAsia="仿宋" w:cs="仿宋"/>
          <w:bCs/>
          <w:color w:val="auto"/>
          <w:sz w:val="24"/>
          <w:szCs w:val="24"/>
          <w:highlight w:val="none"/>
          <w:u w:val="none"/>
        </w:rPr>
      </w:pPr>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5.</w:t>
      </w:r>
      <w:r>
        <w:rPr>
          <w:rFonts w:hint="eastAsia" w:ascii="仿宋" w:hAnsi="仿宋" w:eastAsia="仿宋" w:cs="仿宋"/>
          <w:bCs/>
          <w:color w:val="auto"/>
          <w:sz w:val="24"/>
          <w:szCs w:val="24"/>
          <w:highlight w:val="none"/>
          <w:u w:val="none"/>
        </w:rPr>
        <w:t xml:space="preserve">项目采用“资格后审”的“综合评分法”确定中标候选人。未通过资格审查的投标文件将被视为无效标处理；对通过初步评审的投标文件，评标委员会将按评分办法和标准进行评分，总分值为100分，评分细则详见</w:t>
      </w:r>
      <w:r>
        <w:rPr>
          <w:rFonts w:hint="eastAsia" w:ascii="仿宋" w:hAnsi="仿宋" w:eastAsia="仿宋" w:cs="仿宋"/>
          <w:bCs/>
          <w:color w:val="auto"/>
          <w:sz w:val="24"/>
          <w:szCs w:val="24"/>
          <w:highlight w:val="none"/>
          <w:u w:val="none"/>
          <w:lang w:val="en-US" w:eastAsia="zh-CN"/>
        </w:rPr>
        <w:t xml:space="preserve">采购文件</w:t>
      </w:r>
      <w:r>
        <w:rPr>
          <w:rFonts w:hint="eastAsia" w:ascii="仿宋" w:hAnsi="仿宋" w:eastAsia="仿宋" w:cs="仿宋"/>
          <w:bCs/>
          <w:color w:val="auto"/>
          <w:sz w:val="24"/>
          <w:szCs w:val="24"/>
          <w:highlight w:val="none"/>
          <w:u w:val="none"/>
        </w:rPr>
        <w:t xml:space="preserve">。</w:t>
      </w:r>
      <w:r/>
    </w:p>
    <w:p>
      <w:pPr>
        <w:pStyle w:val="648"/>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39" w:name="_Toc15272"/>
      <w:r/>
      <w:bookmarkStart w:id="40" w:name="_Toc22557"/>
      <w:r/>
      <w:bookmarkStart w:id="41" w:name="_Toc15897"/>
      <w:r/>
      <w:bookmarkStart w:id="42" w:name="_Toc7272"/>
      <w:r>
        <w:rPr>
          <w:rFonts w:hint="eastAsia" w:ascii="仿宋" w:hAnsi="仿宋" w:eastAsia="仿宋" w:cs="仿宋"/>
          <w:b w:val="0"/>
          <w:bCs w:val="0"/>
          <w:i w:val="0"/>
          <w:iCs w:val="0"/>
          <w:caps w:val="0"/>
          <w:color w:val="auto"/>
          <w:spacing w:val="0"/>
          <w:sz w:val="24"/>
          <w:szCs w:val="24"/>
          <w:highlight w:val="none"/>
          <w:u w:val="none"/>
          <w:shd w:val="clear" w:color="auto" w:fill="ffffff"/>
          <w:lang w:val="en-US" w:eastAsia="zh-CN"/>
        </w:rPr>
        <w:t xml:space="preserve">6.</w:t>
      </w:r>
      <w:r>
        <w:rPr>
          <w:rFonts w:hint="eastAsia" w:ascii="仿宋" w:hAnsi="仿宋" w:eastAsia="仿宋" w:cs="仿宋"/>
          <w:b w:val="0"/>
          <w:bCs w:val="0"/>
          <w:color w:val="auto"/>
          <w:sz w:val="24"/>
          <w:szCs w:val="24"/>
          <w:highlight w:val="none"/>
          <w:lang w:bidi="ar"/>
        </w:rPr>
        <w:t xml:space="preserve">本项目落实小微型企业扶持政府采购政策（详见</w:t>
      </w:r>
      <w:r>
        <w:rPr>
          <w:rFonts w:hint="eastAsia" w:ascii="仿宋" w:hAnsi="仿宋" w:eastAsia="仿宋" w:cs="仿宋"/>
          <w:b w:val="0"/>
          <w:bCs w:val="0"/>
          <w:color w:val="auto"/>
          <w:sz w:val="24"/>
          <w:szCs w:val="24"/>
          <w:highlight w:val="none"/>
          <w:lang w:eastAsia="zh-CN" w:bidi="ar"/>
        </w:rPr>
        <w:t xml:space="preserve">采购文件</w:t>
      </w:r>
      <w:r>
        <w:rPr>
          <w:rFonts w:hint="eastAsia" w:ascii="仿宋" w:hAnsi="仿宋" w:eastAsia="仿宋" w:cs="仿宋"/>
          <w:b w:val="0"/>
          <w:bCs w:val="0"/>
          <w:color w:val="auto"/>
          <w:sz w:val="24"/>
          <w:szCs w:val="24"/>
          <w:highlight w:val="none"/>
          <w:lang w:bidi="ar"/>
        </w:rPr>
        <w:t xml:space="preserve">）</w:t>
      </w:r>
      <w:bookmarkEnd w:id="39"/>
      <w:r/>
      <w:bookmarkEnd w:id="40"/>
      <w:r/>
      <w:bookmarkEnd w:id="41"/>
      <w:r/>
      <w:bookmarkEnd w:id="42"/>
      <w:r/>
      <w:r/>
    </w:p>
    <w:p>
      <w:pPr>
        <w:pStyle w:val="648"/>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43" w:name="_Toc1288"/>
      <w:r/>
      <w:bookmarkStart w:id="44" w:name="_Toc14707"/>
      <w:r/>
      <w:bookmarkStart w:id="45" w:name="_Toc2267"/>
      <w:r/>
      <w:bookmarkStart w:id="46" w:name="_Toc21707"/>
      <w:r>
        <w:rPr>
          <w:rFonts w:hint="eastAsia" w:ascii="仿宋" w:hAnsi="仿宋" w:eastAsia="仿宋" w:cs="仿宋"/>
          <w:b w:val="0"/>
          <w:bCs w:val="0"/>
          <w:color w:val="auto"/>
          <w:sz w:val="24"/>
          <w:szCs w:val="24"/>
          <w:highlight w:val="none"/>
          <w:lang w:val="en-US" w:eastAsia="zh-CN" w:bidi="ar"/>
        </w:rPr>
        <w:t xml:space="preserve">7.</w:t>
      </w:r>
      <w:r>
        <w:rPr>
          <w:rFonts w:hint="eastAsia" w:ascii="仿宋" w:hAnsi="仿宋" w:eastAsia="仿宋" w:cs="仿宋"/>
          <w:b w:val="0"/>
          <w:bCs w:val="0"/>
          <w:color w:val="auto"/>
          <w:sz w:val="24"/>
          <w:szCs w:val="24"/>
          <w:highlight w:val="none"/>
          <w:lang w:bidi="ar"/>
        </w:rPr>
        <w:t xml:space="preserve">付款方式：</w:t>
      </w:r>
      <w:bookmarkEnd w:id="43"/>
      <w:r/>
      <w:bookmarkEnd w:id="44"/>
      <w:r/>
      <w:bookmarkEnd w:id="45"/>
      <w:r/>
      <w:bookmarkEnd w:id="46"/>
      <w:r/>
      <w:r/>
    </w:p>
    <w:p>
      <w:pPr>
        <w:pStyle w:val="648"/>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47" w:name="_Toc29714"/>
      <w:r>
        <w:rPr>
          <w:rFonts w:hint="eastAsia" w:ascii="仿宋" w:hAnsi="仿宋" w:eastAsia="仿宋" w:cs="仿宋"/>
          <w:b w:val="0"/>
          <w:bCs w:val="0"/>
          <w:color w:val="auto"/>
          <w:sz w:val="24"/>
          <w:szCs w:val="24"/>
          <w:highlight w:val="none"/>
          <w:lang w:bidi="ar"/>
        </w:rPr>
        <w:t xml:space="preserve">(1)合同签订后，甲方自收到预付款发票后的10个工作日内，支付合同总价的30%的作为预付款；</w:t>
      </w:r>
      <w:bookmarkEnd w:id="47"/>
      <w:r/>
      <w:r/>
    </w:p>
    <w:p>
      <w:pPr>
        <w:pStyle w:val="648"/>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bidi="ar"/>
        </w:rPr>
        <w:pBdr>
          <w:top w:val="none" w:color="auto" w:sz="0" w:space="0"/>
          <w:left w:val="none" w:color="auto" w:sz="0" w:space="0"/>
          <w:bottom w:val="none" w:color="auto" w:sz="0" w:space="0"/>
          <w:right w:val="none" w:color="auto" w:sz="0" w:space="0"/>
        </w:pBdr>
        <w:outlineLvl w:val="9"/>
        <w:suppressLineNumbers w:val="0"/>
      </w:pPr>
      <w:r/>
      <w:bookmarkStart w:id="48" w:name="_Toc21814"/>
      <w:r>
        <w:rPr>
          <w:rFonts w:hint="eastAsia" w:ascii="仿宋" w:hAnsi="仿宋" w:eastAsia="仿宋" w:cs="仿宋"/>
          <w:b w:val="0"/>
          <w:bCs w:val="0"/>
          <w:color w:val="auto"/>
          <w:sz w:val="24"/>
          <w:szCs w:val="24"/>
          <w:highlight w:val="none"/>
          <w:lang w:bidi="ar"/>
        </w:rPr>
        <w:t xml:space="preserve">(2)乙方根据县级主管部门组织专家咨询论证和集中讨论意见进行修改，向甲方提交最终成果，经市县级主管部门审核，待省级片区项目建设奖补资金预拨文件下达后支付合同总价的40%;</w:t>
      </w:r>
      <w:bookmarkEnd w:id="48"/>
      <w:r/>
      <w:r/>
    </w:p>
    <w:p>
      <w:pPr>
        <w:pStyle w:val="648"/>
        <w:ind w:left="0" w:right="0" w:firstLine="480"/>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outlineLvl w:val="9"/>
        <w:suppressLineNumbers w:val="0"/>
      </w:pPr>
      <w:r/>
      <w:bookmarkStart w:id="49" w:name="_Toc14357"/>
      <w:r>
        <w:rPr>
          <w:rFonts w:hint="eastAsia" w:ascii="仿宋" w:hAnsi="仿宋" w:eastAsia="仿宋" w:cs="仿宋"/>
          <w:b w:val="0"/>
          <w:bCs w:val="0"/>
          <w:color w:val="auto"/>
          <w:sz w:val="24"/>
          <w:szCs w:val="24"/>
          <w:highlight w:val="none"/>
          <w:lang w:bidi="ar"/>
        </w:rPr>
        <w:t xml:space="preserve">(3)余款在滨海县黄河故道风貌片区项目建成并通过省市部门验收合格后一次性付清。</w:t>
      </w:r>
      <w:bookmarkEnd w:id="49"/>
      <w:r/>
      <w:r/>
    </w:p>
    <w:p>
      <w:pPr>
        <w:pStyle w:val="648"/>
        <w:ind w:left="0" w:right="0" w:firstLine="482"/>
        <w:jc w:val="both"/>
        <w:keepLines w:val="0"/>
        <w:keepNext w:val="0"/>
        <w:pageBreakBefore w:val="0"/>
        <w:spacing w:before="0" w:beforeAutospacing="0" w:after="0" w:afterAutospacing="0" w:line="520" w:lineRule="exact"/>
        <w:shd w:val="clear" w:color="auto" w:fill="ffffff"/>
        <w:widowControl/>
        <w:rPr>
          <w:rFonts w:hint="eastAsia" w:ascii="仿宋" w:hAnsi="仿宋" w:eastAsia="仿宋" w:cs="仿宋"/>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outlineLvl w:val="0"/>
        <w:suppressLineNumbers w:val="0"/>
      </w:pPr>
      <w:r/>
      <w:bookmarkStart w:id="50" w:name="_Toc29447"/>
      <w:r/>
      <w:bookmarkStart w:id="51" w:name="_Toc9219"/>
      <w:r/>
      <w:bookmarkStart w:id="52" w:name="_Toc18492"/>
      <w:r/>
      <w:bookmarkStart w:id="53" w:name="_Toc26171"/>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七</w:t>
      </w:r>
      <w:r>
        <w:rPr>
          <w:rFonts w:hint="eastAsia" w:ascii="仿宋" w:hAnsi="仿宋" w:eastAsia="仿宋" w:cs="仿宋"/>
          <w:b/>
          <w:bCs/>
          <w:i w:val="0"/>
          <w:iCs w:val="0"/>
          <w:caps w:val="0"/>
          <w:color w:val="auto"/>
          <w:spacing w:val="0"/>
          <w:sz w:val="24"/>
          <w:szCs w:val="24"/>
          <w:highlight w:val="none"/>
          <w:u w:val="none"/>
          <w:shd w:val="clear" w:color="auto" w:fill="ffffff"/>
        </w:rPr>
        <w:t xml:space="preserve">、对本次</w:t>
      </w:r>
      <w:r>
        <w:rPr>
          <w:rFonts w:hint="eastAsia" w:ascii="仿宋" w:hAnsi="仿宋" w:eastAsia="仿宋" w:cs="仿宋"/>
          <w:b/>
          <w:bCs/>
          <w:i w:val="0"/>
          <w:iCs w:val="0"/>
          <w:caps w:val="0"/>
          <w:color w:val="auto"/>
          <w:spacing w:val="0"/>
          <w:sz w:val="24"/>
          <w:szCs w:val="24"/>
          <w:highlight w:val="none"/>
          <w:u w:val="none"/>
          <w:shd w:val="clear" w:color="auto" w:fill="ffffff"/>
          <w:lang w:val="en-US" w:eastAsia="zh-CN"/>
        </w:rPr>
        <w:t xml:space="preserve">招标</w:t>
      </w:r>
      <w:r>
        <w:rPr>
          <w:rFonts w:hint="eastAsia" w:ascii="仿宋" w:hAnsi="仿宋" w:eastAsia="仿宋" w:cs="仿宋"/>
          <w:b/>
          <w:bCs/>
          <w:i w:val="0"/>
          <w:iCs w:val="0"/>
          <w:caps w:val="0"/>
          <w:color w:val="auto"/>
          <w:spacing w:val="0"/>
          <w:sz w:val="24"/>
          <w:szCs w:val="24"/>
          <w:highlight w:val="none"/>
          <w:u w:val="none"/>
          <w:shd w:val="clear" w:color="auto" w:fill="ffffff"/>
        </w:rPr>
        <w:t xml:space="preserve">提出询问，请按以下方式联系。</w:t>
      </w:r>
      <w:bookmarkEnd w:id="38"/>
      <w:r/>
      <w:bookmarkEnd w:id="50"/>
      <w:r/>
      <w:bookmarkEnd w:id="51"/>
      <w:r/>
      <w:bookmarkEnd w:id="52"/>
      <w:r/>
      <w:bookmarkEnd w:id="53"/>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4" w:name="_Toc29745"/>
      <w:r/>
      <w:bookmarkStart w:id="55" w:name="_Toc28359009"/>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1.采购人信息</w:t>
      </w:r>
      <w:bookmarkEnd w:id="54"/>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w:t>
      </w:r>
      <w:r>
        <w:rPr>
          <w:rFonts w:hint="eastAsia" w:ascii="仿宋" w:hAnsi="仿宋" w:eastAsia="仿宋" w:cs="仿宋"/>
          <w:color w:val="auto"/>
          <w:sz w:val="24"/>
          <w:szCs w:val="24"/>
          <w:highlight w:val="none"/>
          <w:u w:val="none"/>
          <w:lang w:eastAsia="zh-CN"/>
        </w:rPr>
        <w:t xml:space="preserve">滨海县乡村振兴服务中心</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地址：</w:t>
      </w:r>
      <w:r>
        <w:rPr>
          <w:rFonts w:hint="eastAsia" w:ascii="仿宋" w:hAnsi="仿宋" w:eastAsia="仿宋" w:cs="仿宋"/>
          <w:color w:val="auto"/>
          <w:sz w:val="24"/>
          <w:szCs w:val="24"/>
          <w:highlight w:val="none"/>
          <w:u w:val="none"/>
          <w:lang w:eastAsia="zh-CN"/>
        </w:rPr>
        <w:t xml:space="preserve">江苏省盐城市滨海县港城路419号水务大厦</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w:t>
      </w:r>
      <w:r>
        <w:rPr>
          <w:rFonts w:hint="eastAsia" w:ascii="仿宋" w:hAnsi="仿宋" w:eastAsia="仿宋" w:cs="仿宋"/>
          <w:color w:val="auto"/>
          <w:sz w:val="24"/>
          <w:szCs w:val="24"/>
          <w:highlight w:val="none"/>
          <w:u w:val="none"/>
          <w:lang w:val="en-US" w:eastAsia="zh-CN"/>
        </w:rPr>
        <w:t xml:space="preserve">赵先生</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联系方式：</w:t>
      </w:r>
      <w:r>
        <w:rPr>
          <w:rFonts w:hint="eastAsia" w:ascii="仿宋" w:hAnsi="仿宋" w:eastAsia="仿宋" w:cs="仿宋"/>
          <w:color w:val="auto"/>
          <w:sz w:val="24"/>
          <w:szCs w:val="24"/>
          <w:highlight w:val="none"/>
          <w:u w:val="none"/>
          <w:lang w:eastAsia="zh-CN"/>
        </w:rPr>
        <w:t xml:space="preserve">18251444410</w:t>
      </w: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            </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6" w:name="_Toc1183"/>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2.采购代理机构信息</w:t>
      </w:r>
      <w:bookmarkEnd w:id="56"/>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名 称：江苏建世工程咨询有限公司</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地 址：滨海县S327/西湖路西北侧配送超市商务楼1幢6层607室</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u w:val="none"/>
          <w:shd w:val="clear" w:color="auto" w:fill="ffffff"/>
          <w:lang w:val="en-US" w:eastAsia="zh-CN"/>
        </w:rPr>
        <w:t xml:space="preserve">联系人：徐先生                     </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联系方式：</w:t>
      </w:r>
      <w:bookmarkStart w:id="57" w:name="_Toc28359010"/>
      <w:r/>
      <w:bookmarkStart w:id="58" w:name="_Toc28359087"/>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0515-89168829、15851110809       </w:t>
      </w:r>
      <w:bookmarkEnd w:id="57"/>
      <w:r/>
      <w:bookmarkEnd w:id="5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            </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1"/>
        <w:suppressLineNumbers w:val="0"/>
      </w:pPr>
      <w:r/>
      <w:bookmarkStart w:id="59" w:name="_Toc28359021"/>
      <w:r/>
      <w:bookmarkStart w:id="60" w:name="_Toc22980"/>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bookmarkEnd w:id="59"/>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项目联系方式</w:t>
      </w:r>
      <w:bookmarkEnd w:id="60"/>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项目联系人：徐先生</w:t>
      </w:r>
      <w:r/>
    </w:p>
    <w:p>
      <w:pPr>
        <w:pStyle w:val="661"/>
        <w:ind w:left="0" w:right="0" w:firstLine="480"/>
        <w:jc w:val="both"/>
        <w:keepLines w:val="0"/>
        <w:keepNext w:val="0"/>
        <w:pageBreakBefore w:val="0"/>
        <w:spacing w:beforeAutospacing="0" w:afterAutospacing="0" w:line="520" w:lineRule="exact"/>
        <w:shd w:val="clear" w:color="auto" w:fill="ffffff"/>
        <w:widowControl/>
        <w:rPr>
          <w:rFonts w:hint="eastAsia" w:ascii="仿宋" w:hAnsi="仿宋" w:eastAsia="仿宋" w:cs="仿宋"/>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电　　 话：15851110809 　　　　　　　　　　　</w:t>
      </w:r>
      <w:r/>
    </w:p>
    <w:p>
      <w:pPr>
        <w:ind w:firstLine="480"/>
        <w:pageBreakBefore w:val="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661"/>
        <w:ind w:right="840"/>
        <w:jc w:val="center"/>
        <w:spacing w:beforeAutospacing="0" w:afterAutospacing="0"/>
        <w:rPr>
          <w:highlight w:val="none"/>
        </w:rPr>
        <w:outlineLvl w:val="0"/>
      </w:pPr>
      <w:r>
        <w:rPr>
          <w:rFonts w:hint="eastAsia" w:ascii="宋体" w:hAnsi="宋体" w:eastAsia="宋体" w:cs="宋体"/>
          <w:color w:val="auto"/>
          <w:sz w:val="24"/>
          <w:szCs w:val="24"/>
          <w:highlight w:val="none"/>
        </w:rPr>
        <w:br w:type="page" w:clear="all"/>
      </w:r>
      <w:bookmarkStart w:id="61" w:name="_Toc120614211"/>
      <w:r/>
      <w:bookmarkStart w:id="62" w:name="_Toc19134"/>
      <w:r/>
      <w:bookmarkStart w:id="63" w:name="_Toc16503"/>
      <w:r>
        <w:rPr>
          <w:rFonts w:hint="eastAsia" w:ascii="方正小标宋简体" w:hAnsi="方正小标宋简体" w:eastAsia="方正小标宋简体" w:cs="方正小标宋简体"/>
          <w:b w:val="0"/>
          <w:bCs w:val="0"/>
          <w:color w:val="000000"/>
          <w:sz w:val="44"/>
          <w:szCs w:val="44"/>
          <w:highlight w:val="none"/>
        </w:rPr>
        <w:t xml:space="preserve">第二章  </w:t>
      </w:r>
      <w:bookmarkEnd w:id="61"/>
      <w:r/>
      <w:bookmarkStart w:id="64" w:name="_Toc513029202"/>
      <w:r/>
      <w:bookmarkStart w:id="65" w:name="_Toc120614213"/>
      <w:r/>
      <w:bookmarkStart w:id="66" w:name="_Toc16938518"/>
      <w:r/>
      <w:bookmarkStart w:id="67" w:name="_Toc20823274"/>
      <w:r>
        <w:rPr>
          <w:rFonts w:hint="eastAsia" w:ascii="方正小标宋简体" w:hAnsi="方正小标宋简体" w:eastAsia="方正小标宋简体" w:cs="方正小标宋简体"/>
          <w:b w:val="0"/>
          <w:bCs w:val="0"/>
          <w:color w:val="000000"/>
          <w:sz w:val="44"/>
          <w:szCs w:val="44"/>
          <w:highlight w:val="none"/>
          <w:lang w:eastAsia="zh-CN"/>
        </w:rPr>
        <w:t xml:space="preserve">投标供应商</w:t>
      </w:r>
      <w:r>
        <w:rPr>
          <w:rFonts w:hint="eastAsia" w:ascii="方正小标宋简体" w:hAnsi="方正小标宋简体" w:eastAsia="方正小标宋简体" w:cs="方正小标宋简体"/>
          <w:b w:val="0"/>
          <w:bCs w:val="0"/>
          <w:color w:val="000000"/>
          <w:sz w:val="44"/>
          <w:szCs w:val="44"/>
          <w:highlight w:val="none"/>
        </w:rPr>
        <w:t xml:space="preserve">须知</w:t>
      </w:r>
      <w:bookmarkEnd w:id="62"/>
      <w:r/>
      <w:bookmarkEnd w:id="63"/>
      <w:r/>
      <w:bookmarkEnd w:id="64"/>
      <w:r/>
      <w:bookmarkEnd w:id="65"/>
      <w:r/>
      <w:bookmarkEnd w:id="66"/>
      <w:r/>
      <w:bookmarkEnd w:id="67"/>
      <w:r/>
      <w:r/>
    </w:p>
    <w:p>
      <w:pPr>
        <w:pStyle w:val="661"/>
        <w:ind w:left="0" w:firstLine="482"/>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0"/>
      </w:pPr>
      <w:r/>
      <w:bookmarkStart w:id="68" w:name="_Toc20823275"/>
      <w:r/>
      <w:bookmarkStart w:id="69" w:name="_Toc11691"/>
      <w:r/>
      <w:bookmarkStart w:id="70" w:name="_Toc120614214"/>
      <w:r/>
      <w:bookmarkStart w:id="71" w:name="_Toc513029203"/>
      <w:r/>
      <w:bookmarkStart w:id="72" w:name="_Toc16938519"/>
      <w:r/>
      <w:bookmarkStart w:id="73" w:name="_Toc32145"/>
      <w:r>
        <w:rPr>
          <w:rFonts w:hint="eastAsia" w:ascii="仿宋" w:hAnsi="仿宋" w:eastAsia="仿宋" w:cs="仿宋"/>
          <w:b/>
          <w:color w:val="000000"/>
          <w:sz w:val="24"/>
          <w:szCs w:val="24"/>
          <w:highlight w:val="none"/>
        </w:rPr>
        <w:t xml:space="preserve">一、总则</w:t>
      </w:r>
      <w:bookmarkEnd w:id="68"/>
      <w:r/>
      <w:bookmarkEnd w:id="69"/>
      <w:r/>
      <w:bookmarkEnd w:id="70"/>
      <w:r/>
      <w:bookmarkEnd w:id="71"/>
      <w:r/>
      <w:bookmarkEnd w:id="72"/>
      <w:r/>
      <w:bookmarkEnd w:id="73"/>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74" w:name="_Toc16938520"/>
      <w:r/>
      <w:bookmarkStart w:id="75" w:name="_Toc18200"/>
      <w:r/>
      <w:bookmarkStart w:id="76" w:name="_Toc513029204"/>
      <w:r/>
      <w:bookmarkStart w:id="77" w:name="_Toc458694821"/>
      <w:r/>
      <w:bookmarkStart w:id="78" w:name="_Toc20823276"/>
      <w:r/>
      <w:bookmarkStart w:id="79" w:name="_Hlt16619475"/>
      <w:r>
        <w:rPr>
          <w:rFonts w:hint="eastAsia" w:ascii="仿宋" w:hAnsi="仿宋" w:eastAsia="仿宋" w:cs="仿宋"/>
          <w:color w:val="000000"/>
          <w:sz w:val="24"/>
          <w:szCs w:val="24"/>
          <w:highlight w:val="none"/>
        </w:rPr>
        <w:t xml:space="preserve">1</w:t>
      </w:r>
      <w:bookmarkEnd w:id="74"/>
      <w:r>
        <w:rPr>
          <w:rFonts w:hint="eastAsia" w:ascii="仿宋" w:hAnsi="仿宋" w:eastAsia="仿宋" w:cs="仿宋"/>
          <w:color w:val="000000"/>
          <w:sz w:val="24"/>
          <w:szCs w:val="24"/>
          <w:highlight w:val="none"/>
        </w:rPr>
        <w:t xml:space="preserve">、招标方式</w:t>
      </w:r>
      <w:bookmarkEnd w:id="75"/>
      <w:r/>
      <w:bookmarkEnd w:id="76"/>
      <w:r/>
      <w:bookmarkEnd w:id="77"/>
      <w:r/>
      <w:bookmarkEnd w:id="78"/>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1.1本次招标采取公开招标方式，本</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仅适用于招标公告中所述项目。</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lang w:eastAsia="zh-CN"/>
        </w:rPr>
        <w:outlineLvl w:val="1"/>
      </w:pPr>
      <w:r/>
      <w:bookmarkStart w:id="80" w:name="_Toc513029205"/>
      <w:r/>
      <w:bookmarkStart w:id="81" w:name="_Toc20823277"/>
      <w:r/>
      <w:bookmarkStart w:id="82" w:name="_Toc16938521"/>
      <w:r/>
      <w:bookmarkStart w:id="83" w:name="_Toc18659"/>
      <w:r>
        <w:rPr>
          <w:rFonts w:hint="eastAsia" w:ascii="仿宋" w:hAnsi="仿宋" w:eastAsia="仿宋" w:cs="仿宋"/>
          <w:color w:val="000000"/>
          <w:sz w:val="24"/>
          <w:szCs w:val="24"/>
          <w:highlight w:val="none"/>
        </w:rPr>
        <w:t xml:space="preserve">2、合格的</w:t>
      </w:r>
      <w:bookmarkEnd w:id="80"/>
      <w:r/>
      <w:bookmarkEnd w:id="81"/>
      <w:r/>
      <w:bookmarkEnd w:id="82"/>
      <w:r>
        <w:rPr>
          <w:rFonts w:hint="eastAsia" w:ascii="仿宋" w:hAnsi="仿宋" w:eastAsia="仿宋" w:cs="仿宋"/>
          <w:color w:val="000000"/>
          <w:sz w:val="24"/>
          <w:szCs w:val="24"/>
          <w:highlight w:val="none"/>
          <w:lang w:eastAsia="zh-CN"/>
        </w:rPr>
        <w:t xml:space="preserve">投标供应商</w:t>
      </w:r>
      <w:bookmarkEnd w:id="83"/>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2.1满足招标公告中供应商的资格要求的规定。</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2.2满足本文件实质性要求和条件的规定。</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84" w:name="_Toc20823278"/>
      <w:r/>
      <w:bookmarkStart w:id="85" w:name="_Toc513029206"/>
      <w:r/>
      <w:bookmarkStart w:id="86" w:name="_Toc17855"/>
      <w:r/>
      <w:bookmarkStart w:id="87" w:name="_Toc16938522"/>
      <w:r>
        <w:rPr>
          <w:rFonts w:hint="eastAsia" w:ascii="仿宋" w:hAnsi="仿宋" w:eastAsia="仿宋" w:cs="仿宋"/>
          <w:color w:val="000000"/>
          <w:sz w:val="24"/>
          <w:szCs w:val="24"/>
          <w:highlight w:val="none"/>
        </w:rPr>
        <w:t xml:space="preserve">3、适用法律</w:t>
      </w:r>
      <w:bookmarkEnd w:id="84"/>
      <w:r/>
      <w:bookmarkEnd w:id="85"/>
      <w:r/>
      <w:bookmarkEnd w:id="86"/>
      <w:r/>
      <w:bookmarkEnd w:id="87"/>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3.1本次招标及由此产生的合同受中华人民共和国有关的法律法规制约和保护。</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88" w:name="_Toc462564067"/>
      <w:r/>
      <w:bookmarkStart w:id="89" w:name="_Toc17184"/>
      <w:r/>
      <w:bookmarkStart w:id="90" w:name="_Toc513029207"/>
      <w:r/>
      <w:bookmarkStart w:id="91" w:name="_Toc20823279"/>
      <w:r/>
      <w:bookmarkStart w:id="92" w:name="_Toc16938523"/>
      <w:r>
        <w:rPr>
          <w:rFonts w:hint="eastAsia" w:ascii="仿宋" w:hAnsi="仿宋" w:eastAsia="仿宋" w:cs="仿宋"/>
          <w:color w:val="000000"/>
          <w:sz w:val="24"/>
          <w:szCs w:val="24"/>
          <w:highlight w:val="none"/>
        </w:rPr>
        <w:t xml:space="preserve">4、投标费用</w:t>
      </w:r>
      <w:bookmarkEnd w:id="88"/>
      <w:r/>
      <w:bookmarkEnd w:id="89"/>
      <w:r/>
      <w:bookmarkEnd w:id="90"/>
      <w:r/>
      <w:bookmarkEnd w:id="91"/>
      <w:r/>
      <w:bookmarkEnd w:id="92"/>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4.1</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应自行承担所有与参加投标有关的费用，无论投标过程中的做法和结果如何，</w:t>
      </w:r>
      <w:r>
        <w:rPr>
          <w:rFonts w:hint="eastAsia" w:ascii="仿宋" w:hAnsi="仿宋" w:eastAsia="仿宋" w:cs="仿宋"/>
          <w:color w:val="000000"/>
          <w:sz w:val="24"/>
          <w:szCs w:val="24"/>
          <w:highlight w:val="none"/>
          <w:lang w:val="en-US" w:eastAsia="zh-CN"/>
        </w:rPr>
        <w:t xml:space="preserve">采购人及采购代理机构</w:t>
      </w:r>
      <w:r>
        <w:rPr>
          <w:rFonts w:hint="eastAsia" w:ascii="仿宋" w:hAnsi="仿宋" w:eastAsia="仿宋" w:cs="仿宋"/>
          <w:color w:val="000000"/>
          <w:sz w:val="24"/>
          <w:szCs w:val="24"/>
          <w:highlight w:val="none"/>
        </w:rPr>
        <w:t xml:space="preserve">在任何情况下均无义务和责任承担这些费用。</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4.2本次招标采购人和采购代理机构不收取标书工本费</w:t>
      </w:r>
      <w:r>
        <w:rPr>
          <w:rFonts w:hint="eastAsia" w:ascii="仿宋" w:hAnsi="仿宋" w:eastAsia="仿宋" w:cs="仿宋"/>
          <w:color w:val="000000"/>
          <w:sz w:val="24"/>
          <w:szCs w:val="24"/>
          <w:highlight w:val="none"/>
          <w:lang w:eastAsia="zh-CN"/>
        </w:rPr>
        <w:t xml:space="preserve">，采购中心不收取</w:t>
      </w:r>
      <w:r>
        <w:rPr>
          <w:rFonts w:hint="eastAsia" w:ascii="仿宋" w:hAnsi="仿宋" w:eastAsia="仿宋" w:cs="仿宋"/>
          <w:color w:val="000000"/>
          <w:sz w:val="24"/>
          <w:szCs w:val="24"/>
          <w:highlight w:val="none"/>
        </w:rPr>
        <w:t xml:space="preserve">中标服务费。</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93" w:name="_Toc16148"/>
      <w:r>
        <w:rPr>
          <w:rFonts w:hint="eastAsia" w:ascii="仿宋" w:hAnsi="仿宋" w:eastAsia="仿宋" w:cs="仿宋"/>
          <w:b w:val="0"/>
          <w:bCs/>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的约束力</w:t>
      </w:r>
      <w:bookmarkEnd w:id="93"/>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5.1</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一旦参加本项目采购活动，即被认为接受了本</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的规定和约束。</w:t>
      </w:r>
      <w:r/>
    </w:p>
    <w:p>
      <w:pPr>
        <w:pStyle w:val="661"/>
        <w:ind w:left="0" w:firstLine="482"/>
        <w:jc w:val="both"/>
        <w:keepLines/>
        <w:keepNext/>
        <w:pageBreakBefore w:val="0"/>
        <w:spacing w:beforeAutospacing="0" w:afterAutospacing="0" w:line="520" w:lineRule="exact"/>
        <w:widowControl w:val="off"/>
        <w:rPr>
          <w:rFonts w:hint="eastAsia" w:ascii="仿宋" w:hAnsi="仿宋" w:eastAsia="仿宋" w:cs="仿宋"/>
          <w:sz w:val="24"/>
          <w:szCs w:val="24"/>
          <w:highlight w:val="none"/>
          <w:lang w:eastAsia="zh-CN"/>
        </w:rPr>
        <w:outlineLvl w:val="0"/>
      </w:pPr>
      <w:r/>
      <w:bookmarkStart w:id="94" w:name="_Toc120614215"/>
      <w:r/>
      <w:bookmarkStart w:id="95" w:name="_Toc513029209"/>
      <w:r/>
      <w:bookmarkStart w:id="96" w:name="_Toc16938525"/>
      <w:r/>
      <w:bookmarkStart w:id="97" w:name="_Toc20823281"/>
      <w:r/>
      <w:bookmarkStart w:id="98" w:name="_Toc22192"/>
      <w:r/>
      <w:bookmarkStart w:id="99" w:name="_Toc16164"/>
      <w:r>
        <w:rPr>
          <w:rFonts w:hint="eastAsia" w:ascii="仿宋" w:hAnsi="仿宋" w:eastAsia="仿宋" w:cs="仿宋"/>
          <w:b/>
          <w:color w:val="000000"/>
          <w:sz w:val="24"/>
          <w:szCs w:val="24"/>
          <w:highlight w:val="none"/>
        </w:rPr>
        <w:t xml:space="preserve">二、</w:t>
      </w:r>
      <w:bookmarkEnd w:id="94"/>
      <w:r/>
      <w:bookmarkEnd w:id="95"/>
      <w:r/>
      <w:bookmarkEnd w:id="96"/>
      <w:r/>
      <w:bookmarkEnd w:id="97"/>
      <w:r/>
      <w:bookmarkEnd w:id="98"/>
      <w:r>
        <w:rPr>
          <w:rFonts w:hint="eastAsia" w:ascii="仿宋" w:hAnsi="仿宋" w:eastAsia="仿宋" w:cs="仿宋"/>
          <w:b/>
          <w:color w:val="000000"/>
          <w:sz w:val="24"/>
          <w:szCs w:val="24"/>
          <w:highlight w:val="none"/>
          <w:lang w:eastAsia="zh-CN"/>
        </w:rPr>
        <w:t xml:space="preserve">采购文件</w:t>
      </w:r>
      <w:bookmarkEnd w:id="99"/>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00" w:name="_Toc16938526"/>
      <w:r/>
      <w:bookmarkStart w:id="101" w:name="_Toc20823282"/>
      <w:r/>
      <w:bookmarkStart w:id="102" w:name="_Toc12957"/>
      <w:r/>
      <w:bookmarkStart w:id="103" w:name="_Toc513029210"/>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构成</w:t>
      </w:r>
      <w:bookmarkEnd w:id="100"/>
      <w:r/>
      <w:bookmarkEnd w:id="101"/>
      <w:r/>
      <w:bookmarkEnd w:id="102"/>
      <w:r/>
      <w:bookmarkEnd w:id="103"/>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6.1 </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由以下部分组成：</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招标公告</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（2）投标</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rPr>
        <w:t xml:space="preserve">须知</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（3）合同文本</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（4）采购需求</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（5）评标方法与评标标准</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（6）投标文件格式</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请仔细检查</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是否齐全，如有缺漏请立即与</w:t>
      </w:r>
      <w:r>
        <w:rPr>
          <w:rFonts w:hint="eastAsia" w:ascii="仿宋" w:hAnsi="仿宋" w:eastAsia="仿宋" w:cs="仿宋"/>
          <w:color w:val="000000"/>
          <w:sz w:val="24"/>
          <w:szCs w:val="24"/>
          <w:highlight w:val="none"/>
          <w:lang w:val="en-US" w:eastAsia="zh-CN"/>
        </w:rPr>
        <w:t xml:space="preserve">采购人和采购代理机构</w:t>
      </w:r>
      <w:r>
        <w:rPr>
          <w:rFonts w:hint="eastAsia" w:ascii="仿宋" w:hAnsi="仿宋" w:eastAsia="仿宋" w:cs="仿宋"/>
          <w:color w:val="000000"/>
          <w:sz w:val="24"/>
          <w:szCs w:val="24"/>
          <w:highlight w:val="none"/>
        </w:rPr>
        <w:t xml:space="preserve">联系解决。</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6.2</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应认真阅读</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中所有的事项、格式、条款和规范等要求。按</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要求和规定编制投标文件，并保证所提供的全部资料的真实性，以使其投标文件对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作出实质性响应，否则其风险由</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自行承担。</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04" w:name="_Toc20198"/>
      <w:r/>
      <w:bookmarkStart w:id="105" w:name="_Toc513029211"/>
      <w:r/>
      <w:bookmarkStart w:id="106" w:name="_Toc462564070"/>
      <w:r/>
      <w:bookmarkStart w:id="107" w:name="_Toc20823283"/>
      <w:r/>
      <w:bookmarkStart w:id="108" w:name="_Toc16938527"/>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的澄清</w:t>
      </w:r>
      <w:bookmarkEnd w:id="104"/>
      <w:r/>
      <w:bookmarkEnd w:id="105"/>
      <w:r/>
      <w:bookmarkEnd w:id="106"/>
      <w:r/>
      <w:bookmarkEnd w:id="107"/>
      <w:r/>
      <w:bookmarkEnd w:id="108"/>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7.1任何要求对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进行澄清的</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前按招标公告中的通讯地址，以书面形式通知</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rPr>
        <w:t xml:space="preserve">。</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09" w:name="_Toc16938528"/>
      <w:r/>
      <w:bookmarkStart w:id="110" w:name="_Toc513029212"/>
      <w:r/>
      <w:bookmarkStart w:id="111" w:name="_Toc462564071"/>
      <w:r/>
      <w:bookmarkStart w:id="112" w:name="_Toc20823284"/>
      <w:r/>
      <w:bookmarkStart w:id="113" w:name="_Toc24795"/>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的修改</w:t>
      </w:r>
      <w:bookmarkEnd w:id="109"/>
      <w:r/>
      <w:bookmarkEnd w:id="110"/>
      <w:r/>
      <w:bookmarkEnd w:id="111"/>
      <w:r/>
      <w:bookmarkEnd w:id="112"/>
      <w:r/>
      <w:bookmarkEnd w:id="113"/>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8.1在投标截止时间前，采购人和采购代理机构可以对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进行修改。</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8.2采购人和采购代理机构有权按照法定的要求推迟投标截止日期和开标日期。</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8.3</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的修改将在</w:t>
      </w:r>
      <w:r>
        <w:rPr>
          <w:rFonts w:hint="eastAsia" w:ascii="仿宋" w:hAnsi="仿宋" w:eastAsia="仿宋" w:cs="仿宋"/>
          <w:color w:val="000000"/>
          <w:sz w:val="24"/>
          <w:szCs w:val="24"/>
          <w:highlight w:val="none"/>
          <w:lang w:val="en-US" w:eastAsia="zh-CN" w:bidi="ar-SA"/>
        </w:rPr>
        <w:t xml:space="preserve">中国政府采购网</w:t>
      </w:r>
      <w:r>
        <w:rPr>
          <w:rFonts w:hint="eastAsia" w:ascii="仿宋" w:hAnsi="仿宋" w:eastAsia="仿宋" w:cs="仿宋"/>
          <w:i w:val="0"/>
          <w:iCs w:val="0"/>
          <w:caps w:val="0"/>
          <w:color w:val="333333"/>
          <w:spacing w:val="0"/>
          <w:sz w:val="24"/>
          <w:szCs w:val="24"/>
          <w:highlight w:val="none"/>
          <w:shd w:val="clear" w:color="auto" w:fill="ffffff"/>
          <w:lang w:val="en-US" w:eastAsia="zh-CN"/>
        </w:rPr>
        <w:t xml:space="preserve">、</w:t>
      </w:r>
      <w:r>
        <w:rPr>
          <w:rFonts w:hint="eastAsia" w:ascii="仿宋" w:hAnsi="仿宋" w:eastAsia="仿宋" w:cs="仿宋"/>
          <w:color w:val="000000"/>
          <w:sz w:val="24"/>
          <w:szCs w:val="24"/>
          <w:highlight w:val="none"/>
        </w:rPr>
        <w:t xml:space="preserve">江苏政府采购网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盐城市政府采购网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滨海县人民政府网</w:t>
      </w:r>
      <w:r>
        <w:rPr>
          <w:rFonts w:hint="eastAsia" w:ascii="仿宋" w:hAnsi="仿宋" w:eastAsia="仿宋" w:cs="仿宋"/>
          <w:color w:val="000000"/>
          <w:sz w:val="24"/>
          <w:szCs w:val="24"/>
          <w:highlight w:val="none"/>
        </w:rPr>
        <w:t xml:space="preserve">公布，补充文件将作为</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的组成部分，并对</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具有约束力。</w:t>
      </w:r>
      <w:r/>
    </w:p>
    <w:p>
      <w:pPr>
        <w:pStyle w:val="661"/>
        <w:ind w:left="0" w:firstLine="482"/>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0"/>
      </w:pPr>
      <w:r/>
      <w:bookmarkStart w:id="114" w:name="_Toc462564072"/>
      <w:r/>
      <w:bookmarkStart w:id="115" w:name="_Toc16938529"/>
      <w:r/>
      <w:bookmarkStart w:id="116" w:name="_Toc21954"/>
      <w:r/>
      <w:bookmarkStart w:id="117" w:name="_Toc120614216"/>
      <w:r/>
      <w:bookmarkStart w:id="118" w:name="_Toc20823285"/>
      <w:r/>
      <w:bookmarkStart w:id="119" w:name="_Toc513029213"/>
      <w:r/>
      <w:bookmarkStart w:id="120" w:name="_Toc14781"/>
      <w:r>
        <w:rPr>
          <w:rFonts w:hint="eastAsia" w:ascii="仿宋" w:hAnsi="仿宋" w:eastAsia="仿宋" w:cs="仿宋"/>
          <w:b/>
          <w:color w:val="000000"/>
          <w:sz w:val="24"/>
          <w:szCs w:val="24"/>
          <w:highlight w:val="none"/>
        </w:rPr>
        <w:t xml:space="preserve">三、投标文件的编制</w:t>
      </w:r>
      <w:bookmarkEnd w:id="114"/>
      <w:r/>
      <w:bookmarkEnd w:id="115"/>
      <w:r/>
      <w:bookmarkEnd w:id="116"/>
      <w:r/>
      <w:bookmarkEnd w:id="117"/>
      <w:r/>
      <w:bookmarkEnd w:id="118"/>
      <w:r/>
      <w:bookmarkEnd w:id="119"/>
      <w:r/>
      <w:bookmarkEnd w:id="120"/>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21" w:name="_Toc16938530"/>
      <w:r/>
      <w:bookmarkStart w:id="122" w:name="_Toc20823286"/>
      <w:r/>
      <w:bookmarkStart w:id="123" w:name="_Toc462564073"/>
      <w:r/>
      <w:bookmarkStart w:id="124" w:name="_Toc513029214"/>
      <w:r/>
      <w:bookmarkStart w:id="125" w:name="_Toc6443"/>
      <w:r>
        <w:rPr>
          <w:rFonts w:hint="eastAsia" w:ascii="仿宋" w:hAnsi="仿宋" w:eastAsia="仿宋" w:cs="仿宋"/>
          <w:color w:val="000000"/>
          <w:sz w:val="24"/>
          <w:szCs w:val="24"/>
          <w:highlight w:val="none"/>
        </w:rPr>
        <w:t xml:space="preserve">9、投标文件的语言及度量衡单位</w:t>
      </w:r>
      <w:bookmarkEnd w:id="121"/>
      <w:r/>
      <w:bookmarkEnd w:id="122"/>
      <w:r/>
      <w:bookmarkEnd w:id="123"/>
      <w:r/>
      <w:bookmarkEnd w:id="124"/>
      <w:r/>
      <w:bookmarkEnd w:id="125"/>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9.1</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提交的投标文件以及</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与采购人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采购代理机构就有关投标的所有来往通知、函件和文件均应使用</w:t>
      </w:r>
      <w:r>
        <w:rPr>
          <w:rFonts w:hint="eastAsia" w:ascii="仿宋" w:hAnsi="仿宋" w:eastAsia="仿宋" w:cs="仿宋"/>
          <w:b/>
          <w:color w:val="000000"/>
          <w:sz w:val="24"/>
          <w:szCs w:val="24"/>
          <w:highlight w:val="none"/>
        </w:rPr>
        <w:t xml:space="preserve">简体中文</w:t>
      </w:r>
      <w:r>
        <w:rPr>
          <w:rFonts w:hint="eastAsia" w:ascii="仿宋" w:hAnsi="仿宋" w:eastAsia="仿宋" w:cs="仿宋"/>
          <w:color w:val="000000"/>
          <w:sz w:val="24"/>
          <w:szCs w:val="24"/>
          <w:highlight w:val="none"/>
        </w:rPr>
        <w:t xml:space="preserve">。</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9.2除技术性能另有规定外，投标文件所使用的度量衡单位，均须采用国家法定计量单位。</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26" w:name="_Toc513029215"/>
      <w:r/>
      <w:bookmarkStart w:id="127" w:name="_Toc16938531"/>
      <w:r/>
      <w:bookmarkStart w:id="128" w:name="_Toc462564074"/>
      <w:r/>
      <w:bookmarkStart w:id="129" w:name="_Toc20823287"/>
      <w:r/>
      <w:bookmarkStart w:id="130" w:name="_Toc16709"/>
      <w:r>
        <w:rPr>
          <w:rFonts w:hint="eastAsia" w:ascii="仿宋" w:hAnsi="仿宋" w:eastAsia="仿宋" w:cs="仿宋"/>
          <w:color w:val="000000"/>
          <w:sz w:val="24"/>
          <w:szCs w:val="24"/>
          <w:highlight w:val="none"/>
        </w:rPr>
        <w:t xml:space="preserve">10、投标文件构成</w:t>
      </w:r>
      <w:bookmarkEnd w:id="126"/>
      <w:r/>
      <w:bookmarkEnd w:id="127"/>
      <w:r/>
      <w:bookmarkEnd w:id="128"/>
      <w:r/>
      <w:bookmarkEnd w:id="129"/>
      <w:r/>
      <w:bookmarkEnd w:id="130"/>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10.1</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编写的投标文件应包括资格证明文件、符合性证明文件、投标分项报价表、技术要求响应及偏离表、商务要求响应及偏离表、其他证明文件、投标函、开标一览表等部分。</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10.2如标书制作工具中格式和内容与</w:t>
      </w:r>
      <w:r>
        <w:rPr>
          <w:rFonts w:hint="eastAsia" w:ascii="仿宋" w:hAnsi="仿宋" w:eastAsia="仿宋" w:cs="仿宋"/>
          <w:b/>
          <w:bCs/>
          <w:i w:val="0"/>
          <w:iCs w:val="0"/>
          <w:caps w:val="0"/>
          <w:color w:val="333333"/>
          <w:spacing w:val="0"/>
          <w:sz w:val="24"/>
          <w:szCs w:val="24"/>
          <w:highlight w:val="none"/>
          <w:shd w:val="clear" w:color="auto" w:fill="ffffff"/>
          <w:lang w:val="en-US" w:eastAsia="zh-CN"/>
        </w:rPr>
        <w:t xml:space="preserve">“</w:t>
      </w:r>
      <w:r>
        <w:rPr>
          <w:rFonts w:hint="eastAsia" w:ascii="仿宋" w:hAnsi="仿宋" w:eastAsia="仿宋" w:cs="仿宋"/>
          <w:b/>
          <w:bCs/>
          <w:color w:val="000000"/>
          <w:sz w:val="24"/>
          <w:szCs w:val="24"/>
          <w:highlight w:val="none"/>
          <w:lang w:val="en-US" w:eastAsia="zh-CN" w:bidi="ar-SA"/>
        </w:rPr>
        <w:t xml:space="preserve">中国政府采购网”“</w:t>
      </w:r>
      <w:r>
        <w:rPr>
          <w:rFonts w:hint="eastAsia" w:ascii="仿宋" w:hAnsi="仿宋" w:eastAsia="仿宋" w:cs="仿宋"/>
          <w:b/>
          <w:bCs/>
          <w:color w:val="000000"/>
          <w:sz w:val="24"/>
          <w:szCs w:val="24"/>
          <w:highlight w:val="none"/>
        </w:rPr>
        <w:t xml:space="preserve">江苏政府采购网</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盐城市政府采购网”发布的</w:t>
      </w:r>
      <w:r>
        <w:rPr>
          <w:rFonts w:hint="eastAsia" w:ascii="仿宋" w:hAnsi="仿宋" w:eastAsia="仿宋" w:cs="仿宋"/>
          <w:b/>
          <w:bCs/>
          <w:color w:val="000000"/>
          <w:sz w:val="24"/>
          <w:szCs w:val="24"/>
          <w:highlight w:val="none"/>
          <w:lang w:eastAsia="zh-CN"/>
        </w:rPr>
        <w:t xml:space="preserve">采购文件</w:t>
      </w:r>
      <w:r>
        <w:rPr>
          <w:rFonts w:hint="eastAsia" w:ascii="仿宋" w:hAnsi="仿宋" w:eastAsia="仿宋" w:cs="仿宋"/>
          <w:b/>
          <w:bCs/>
          <w:color w:val="000000"/>
          <w:sz w:val="24"/>
          <w:szCs w:val="24"/>
          <w:highlight w:val="none"/>
        </w:rPr>
        <w:t xml:space="preserve">不一致，请以</w:t>
      </w:r>
      <w:r>
        <w:rPr>
          <w:rFonts w:hint="eastAsia" w:ascii="仿宋" w:hAnsi="仿宋" w:eastAsia="仿宋" w:cs="仿宋"/>
          <w:b/>
          <w:bCs/>
          <w:i w:val="0"/>
          <w:iCs w:val="0"/>
          <w:caps w:val="0"/>
          <w:color w:val="333333"/>
          <w:spacing w:val="0"/>
          <w:sz w:val="24"/>
          <w:szCs w:val="24"/>
          <w:highlight w:val="none"/>
          <w:shd w:val="clear" w:color="auto" w:fill="ffffff"/>
          <w:lang w:val="en-US" w:eastAsia="zh-CN"/>
        </w:rPr>
        <w:t xml:space="preserve">“</w:t>
      </w:r>
      <w:r>
        <w:rPr>
          <w:rFonts w:hint="eastAsia" w:ascii="仿宋" w:hAnsi="仿宋" w:eastAsia="仿宋" w:cs="仿宋"/>
          <w:b/>
          <w:bCs/>
          <w:color w:val="000000"/>
          <w:sz w:val="24"/>
          <w:szCs w:val="24"/>
          <w:highlight w:val="none"/>
          <w:lang w:val="en-US" w:eastAsia="zh-CN" w:bidi="ar-SA"/>
        </w:rPr>
        <w:t xml:space="preserve">中国政府采购网”“</w:t>
      </w:r>
      <w:r>
        <w:rPr>
          <w:rFonts w:hint="eastAsia" w:ascii="仿宋" w:hAnsi="仿宋" w:eastAsia="仿宋" w:cs="仿宋"/>
          <w:b/>
          <w:bCs/>
          <w:color w:val="000000"/>
          <w:sz w:val="24"/>
          <w:szCs w:val="24"/>
          <w:highlight w:val="none"/>
        </w:rPr>
        <w:t xml:space="preserve">江苏政府采购网</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盐城市政府采购网”发布的</w:t>
      </w:r>
      <w:r>
        <w:rPr>
          <w:rFonts w:hint="eastAsia" w:ascii="仿宋" w:hAnsi="仿宋" w:eastAsia="仿宋" w:cs="仿宋"/>
          <w:b/>
          <w:bCs/>
          <w:color w:val="000000"/>
          <w:sz w:val="24"/>
          <w:szCs w:val="24"/>
          <w:highlight w:val="none"/>
          <w:lang w:eastAsia="zh-CN"/>
        </w:rPr>
        <w:t xml:space="preserve">采购文件</w:t>
      </w:r>
      <w:r>
        <w:rPr>
          <w:rFonts w:hint="eastAsia" w:ascii="仿宋" w:hAnsi="仿宋" w:eastAsia="仿宋" w:cs="仿宋"/>
          <w:b/>
          <w:bCs/>
          <w:color w:val="000000"/>
          <w:sz w:val="24"/>
          <w:szCs w:val="24"/>
          <w:highlight w:val="none"/>
        </w:rPr>
        <w:t xml:space="preserve">为准。</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31" w:name="_Toc10215"/>
      <w:r/>
      <w:bookmarkStart w:id="132" w:name="_Toc513029216"/>
      <w:r/>
      <w:bookmarkStart w:id="133" w:name="_Toc513029219"/>
      <w:r/>
      <w:bookmarkStart w:id="134" w:name="_Toc49090507"/>
      <w:r/>
      <w:bookmarkStart w:id="135" w:name="_Toc14577357"/>
      <w:r/>
      <w:bookmarkStart w:id="136" w:name="_Toc49090509"/>
      <w:r/>
      <w:bookmarkStart w:id="137" w:name="_Toc14577354"/>
      <w:r/>
      <w:bookmarkStart w:id="138" w:name="_Hlt26670360"/>
      <w:r/>
      <w:bookmarkStart w:id="139" w:name="_Hlt26668975"/>
      <w:r/>
      <w:bookmarkStart w:id="140" w:name="_Hlt26954838"/>
      <w:r>
        <w:rPr>
          <w:rFonts w:hint="eastAsia" w:ascii="仿宋" w:hAnsi="仿宋" w:eastAsia="仿宋" w:cs="仿宋"/>
          <w:color w:val="000000"/>
          <w:sz w:val="24"/>
          <w:szCs w:val="24"/>
          <w:highlight w:val="none"/>
        </w:rPr>
        <w:t xml:space="preserve">11、证明</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及投标标的符合</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规定的文件</w:t>
      </w:r>
      <w:bookmarkEnd w:id="131"/>
      <w:r/>
      <w:bookmarkEnd w:id="132"/>
      <w:r/>
      <w:bookmarkEnd w:id="133"/>
      <w:r/>
      <w:bookmarkEnd w:id="134"/>
      <w:r/>
      <w:bookmarkEnd w:id="135"/>
      <w:r/>
      <w:bookmarkEnd w:id="136"/>
      <w:r/>
      <w:bookmarkEnd w:id="137"/>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bookmarkStart w:id="141" w:name="_Toc49090508"/>
      <w:r/>
      <w:bookmarkStart w:id="142" w:name="_Toc14577355"/>
      <w:r>
        <w:rPr>
          <w:rFonts w:hint="eastAsia" w:ascii="仿宋" w:hAnsi="仿宋" w:eastAsia="仿宋" w:cs="仿宋"/>
          <w:color w:val="000000"/>
          <w:sz w:val="24"/>
          <w:szCs w:val="24"/>
          <w:highlight w:val="none"/>
        </w:rPr>
        <w:t xml:space="preserve">11.1</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应按照法律、法规、规章和规范性文件以及</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要求提交证明文件，证明其及投标标的符合</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规定。</w:t>
      </w:r>
      <w:bookmarkEnd w:id="141"/>
      <w:r/>
      <w:bookmarkEnd w:id="142"/>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11.2</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对证明文件无明确形式要求的，证明文件可以以文字资料、图纸和数据等形式提交。</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43" w:name="_Toc30044"/>
      <w:r>
        <w:rPr>
          <w:rFonts w:hint="eastAsia" w:ascii="仿宋" w:hAnsi="仿宋" w:eastAsia="仿宋" w:cs="仿宋"/>
          <w:color w:val="000000"/>
          <w:sz w:val="24"/>
          <w:szCs w:val="24"/>
          <w:highlight w:val="none"/>
        </w:rPr>
        <w:t xml:space="preserve">12、投标分项报价</w:t>
      </w:r>
      <w:bookmarkStart w:id="144" w:name="_Hlt26670373"/>
      <w:r>
        <w:rPr>
          <w:rFonts w:hint="eastAsia" w:ascii="仿宋" w:hAnsi="仿宋" w:eastAsia="仿宋" w:cs="仿宋"/>
          <w:color w:val="000000"/>
          <w:sz w:val="24"/>
          <w:szCs w:val="24"/>
          <w:highlight w:val="none"/>
        </w:rPr>
        <w:t xml:space="preserve">表</w:t>
      </w:r>
      <w:bookmarkEnd w:id="143"/>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12.1</w:t>
      </w:r>
      <w:bookmarkStart w:id="145" w:name="_Hlt26954840"/>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应按照</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规定格式填报投标分项报价表</w:t>
      </w:r>
      <w:bookmarkStart w:id="146" w:name="_Hlt26670399"/>
      <w:r>
        <w:rPr>
          <w:rFonts w:hint="eastAsia" w:ascii="仿宋" w:hAnsi="仿宋" w:eastAsia="仿宋" w:cs="仿宋"/>
          <w:color w:val="000000"/>
          <w:sz w:val="24"/>
          <w:szCs w:val="24"/>
          <w:highlight w:val="none"/>
        </w:rPr>
        <w:t xml:space="preserve">。</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12.2投标货币。投标文件中的单价和总价无特殊规定的采用人民币报价，以元为单位标注。</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中另有规定的按规定执行。</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47" w:name="_Toc28254"/>
      <w:r/>
      <w:bookmarkStart w:id="148" w:name="_Hlt26670486"/>
      <w:r/>
      <w:bookmarkStart w:id="149" w:name="_Hlt26954846"/>
      <w:r/>
      <w:bookmarkStart w:id="150" w:name="_Hlt26954844"/>
      <w:r/>
      <w:bookmarkStart w:id="151" w:name="_Hlt26954731"/>
      <w:r/>
      <w:bookmarkStart w:id="152" w:name="_Hlt26670425"/>
      <w:r/>
      <w:bookmarkStart w:id="153" w:name="_Hlt26668983"/>
      <w:r/>
      <w:bookmarkStart w:id="154" w:name="_Hlt26670482"/>
      <w:r/>
      <w:bookmarkStart w:id="155" w:name="_Hlt26954848"/>
      <w:r/>
      <w:bookmarkStart w:id="156" w:name="_Hlt26670403"/>
      <w:r/>
      <w:bookmarkStart w:id="157" w:name="_Hlt26954842"/>
      <w:r>
        <w:rPr>
          <w:rFonts w:hint="eastAsia" w:ascii="仿宋" w:hAnsi="仿宋" w:eastAsia="仿宋" w:cs="仿宋"/>
          <w:color w:val="000000"/>
          <w:sz w:val="24"/>
          <w:szCs w:val="24"/>
          <w:highlight w:val="none"/>
        </w:rPr>
        <w:t xml:space="preserve">13、技术要求响应及偏离表、商务要求响应及偏离表</w:t>
      </w:r>
      <w:bookmarkEnd w:id="147"/>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13.1</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需对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中的技术要求与商务要求逐项作出响应或偏离，并说明原因。</w:t>
      </w:r>
      <w:r/>
    </w:p>
    <w:p>
      <w:pPr>
        <w:pStyle w:val="661"/>
        <w:ind w:left="0" w:firstLine="480"/>
        <w:jc w:val="both"/>
        <w:pageBreakBefore w:val="0"/>
        <w:spacing w:beforeAutospacing="0" w:afterAutospacing="0" w:line="520" w:lineRule="exact"/>
        <w:widowControl w:val="off"/>
        <w:tabs>
          <w:tab w:val="left" w:pos="1036" w:leader="none"/>
        </w:tabs>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13.2</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可在投标文件中提供认为需要的其他技术文件或说明。</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58" w:name="_Toc49090510"/>
      <w:r/>
      <w:bookmarkStart w:id="159" w:name="_Toc28391"/>
      <w:r/>
      <w:bookmarkStart w:id="160" w:name="_Toc14577359"/>
      <w:r>
        <w:rPr>
          <w:rFonts w:hint="eastAsia" w:ascii="仿宋" w:hAnsi="仿宋" w:eastAsia="仿宋" w:cs="仿宋"/>
          <w:color w:val="000000"/>
          <w:sz w:val="24"/>
          <w:szCs w:val="24"/>
          <w:highlight w:val="none"/>
        </w:rPr>
        <w:t xml:space="preserve">14、投标函和开标一览表</w:t>
      </w:r>
      <w:bookmarkEnd w:id="158"/>
      <w:r/>
      <w:bookmarkEnd w:id="159"/>
      <w:r/>
      <w:bookmarkEnd w:id="160"/>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14.1</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应按照</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中提供的格式完整、正确填写投标函、开标一览表。</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000000"/>
          <w:sz w:val="24"/>
          <w:szCs w:val="24"/>
          <w:highlight w:val="none"/>
        </w:rPr>
        <w:t xml:space="preserve">。</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61" w:name="_Toc49090511"/>
      <w:r/>
      <w:bookmarkStart w:id="162" w:name="_Toc15246"/>
      <w:r/>
      <w:bookmarkStart w:id="163" w:name="_Toc14577360"/>
      <w:r/>
      <w:bookmarkStart w:id="164" w:name="_Hlt26670489"/>
      <w:r/>
      <w:bookmarkStart w:id="165" w:name="_Hlt26954734"/>
      <w:r/>
      <w:bookmarkStart w:id="166" w:name="_Hlt26954850"/>
      <w:r>
        <w:rPr>
          <w:rFonts w:hint="eastAsia" w:ascii="仿宋" w:hAnsi="仿宋" w:eastAsia="仿宋" w:cs="仿宋"/>
          <w:color w:val="000000"/>
          <w:sz w:val="24"/>
          <w:szCs w:val="24"/>
          <w:highlight w:val="none"/>
        </w:rPr>
        <w:t xml:space="preserve">15、投标有效期</w:t>
      </w:r>
      <w:bookmarkEnd w:id="161"/>
      <w:r/>
      <w:bookmarkEnd w:id="162"/>
      <w:r/>
      <w:bookmarkEnd w:id="163"/>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15.1投标有效期为开标之日后</w:t>
      </w:r>
      <w:r>
        <w:rPr>
          <w:rFonts w:hint="eastAsia" w:ascii="仿宋" w:hAnsi="仿宋" w:eastAsia="仿宋" w:cs="仿宋"/>
          <w:b/>
          <w:color w:val="auto"/>
          <w:sz w:val="24"/>
          <w:szCs w:val="24"/>
          <w:highlight w:val="none"/>
          <w:u w:val="single"/>
          <w:lang w:val="en-US" w:eastAsia="zh-CN"/>
        </w:rPr>
        <w:t xml:space="preserve">九</w:t>
      </w:r>
      <w:r>
        <w:rPr>
          <w:rFonts w:hint="eastAsia" w:ascii="仿宋" w:hAnsi="仿宋" w:eastAsia="仿宋" w:cs="仿宋"/>
          <w:b/>
          <w:color w:val="auto"/>
          <w:sz w:val="24"/>
          <w:szCs w:val="24"/>
          <w:highlight w:val="none"/>
          <w:u w:val="single"/>
        </w:rPr>
        <w:t xml:space="preserve">十（</w:t>
      </w:r>
      <w:r>
        <w:rPr>
          <w:rFonts w:hint="eastAsia" w:ascii="仿宋" w:hAnsi="仿宋" w:eastAsia="仿宋" w:cs="仿宋"/>
          <w:b/>
          <w:color w:val="auto"/>
          <w:sz w:val="24"/>
          <w:szCs w:val="24"/>
          <w:highlight w:val="none"/>
          <w:u w:val="single"/>
          <w:lang w:val="en-US" w:eastAsia="zh-CN"/>
        </w:rPr>
        <w:t xml:space="preserve">9</w:t>
      </w:r>
      <w:r>
        <w:rPr>
          <w:rFonts w:hint="eastAsia" w:ascii="仿宋" w:hAnsi="仿宋" w:eastAsia="仿宋" w:cs="仿宋"/>
          <w:b/>
          <w:color w:val="auto"/>
          <w:sz w:val="24"/>
          <w:szCs w:val="24"/>
          <w:highlight w:val="none"/>
          <w:u w:val="single"/>
        </w:rPr>
        <w:t xml:space="preserve">0）天</w:t>
      </w:r>
      <w:r>
        <w:rPr>
          <w:rFonts w:hint="eastAsia" w:ascii="仿宋" w:hAnsi="仿宋" w:eastAsia="仿宋" w:cs="仿宋"/>
          <w:color w:val="000000"/>
          <w:sz w:val="24"/>
          <w:szCs w:val="24"/>
          <w:highlight w:val="none"/>
        </w:rPr>
        <w:t xml:space="preserve">。投标有效期比规定短的将被视为未实质性响应</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而予以拒绝。</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67" w:name="_Toc30723"/>
      <w:r>
        <w:rPr>
          <w:rFonts w:hint="eastAsia" w:ascii="仿宋" w:hAnsi="仿宋" w:eastAsia="仿宋" w:cs="仿宋"/>
          <w:color w:val="000000"/>
          <w:sz w:val="24"/>
          <w:szCs w:val="24"/>
          <w:highlight w:val="none"/>
        </w:rPr>
        <w:t xml:space="preserve">16、投标有效期的延长</w:t>
      </w:r>
      <w:bookmarkEnd w:id="167"/>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16.1在特殊情况下，采购人和采购代理机构于原投标有效期满之前，可向</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提出延长投标有效期的要求。这种要求与答复均应采用书面形式。</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可以拒绝采购人和采购代理机构的这一要求而放弃投标。同意延长投标有效期的</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既不能要求也不允许修改其投标文件，同时受投标有效期约束的所有权利与义务均延长至新的有效期。</w:t>
      </w:r>
      <w:r/>
    </w:p>
    <w:p>
      <w:pPr>
        <w:pStyle w:val="661"/>
        <w:ind w:left="0" w:firstLine="482"/>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0"/>
      </w:pPr>
      <w:r/>
      <w:bookmarkStart w:id="168" w:name="_Toc120614217"/>
      <w:r/>
      <w:bookmarkStart w:id="169" w:name="_Toc29651"/>
      <w:r/>
      <w:bookmarkStart w:id="170" w:name="_Toc513029224"/>
      <w:r/>
      <w:bookmarkStart w:id="171" w:name="_Toc20823296"/>
      <w:r/>
      <w:bookmarkStart w:id="172" w:name="_Toc15303"/>
      <w:r/>
      <w:bookmarkStart w:id="173" w:name="_Toc16938540"/>
      <w:r/>
      <w:bookmarkStart w:id="174" w:name="_Hlt26954739"/>
      <w:r/>
      <w:bookmarkStart w:id="175" w:name="_Hlt26954852"/>
      <w:r>
        <w:rPr>
          <w:rFonts w:hint="eastAsia" w:ascii="仿宋" w:hAnsi="仿宋" w:eastAsia="仿宋" w:cs="仿宋"/>
          <w:b/>
          <w:color w:val="000000"/>
          <w:sz w:val="24"/>
          <w:szCs w:val="24"/>
          <w:highlight w:val="none"/>
        </w:rPr>
        <w:t xml:space="preserve">四、投标文件的递交</w:t>
      </w:r>
      <w:bookmarkEnd w:id="168"/>
      <w:r/>
      <w:bookmarkEnd w:id="169"/>
      <w:r/>
      <w:bookmarkEnd w:id="170"/>
      <w:r/>
      <w:bookmarkEnd w:id="171"/>
      <w:r/>
      <w:bookmarkEnd w:id="172"/>
      <w:r/>
      <w:bookmarkEnd w:id="173"/>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76" w:name="_Toc20823297"/>
      <w:r/>
      <w:bookmarkStart w:id="177" w:name="_Toc513029225"/>
      <w:r/>
      <w:bookmarkStart w:id="178" w:name="_Toc16938541"/>
      <w:r/>
      <w:bookmarkStart w:id="179" w:name="_Toc462564084"/>
      <w:r/>
      <w:bookmarkStart w:id="180" w:name="_Toc25482"/>
      <w:r>
        <w:rPr>
          <w:rFonts w:hint="eastAsia" w:ascii="仿宋" w:hAnsi="仿宋" w:eastAsia="仿宋" w:cs="仿宋"/>
          <w:color w:val="000000"/>
          <w:sz w:val="24"/>
          <w:szCs w:val="24"/>
          <w:highlight w:val="none"/>
        </w:rPr>
        <w:t xml:space="preserve">17、投标文件</w:t>
      </w:r>
      <w:bookmarkEnd w:id="176"/>
      <w:r/>
      <w:bookmarkEnd w:id="177"/>
      <w:r/>
      <w:bookmarkEnd w:id="178"/>
      <w:r/>
      <w:bookmarkEnd w:id="179"/>
      <w:r>
        <w:rPr>
          <w:rFonts w:hint="eastAsia" w:ascii="仿宋" w:hAnsi="仿宋" w:eastAsia="仿宋" w:cs="仿宋"/>
          <w:color w:val="000000"/>
          <w:sz w:val="24"/>
          <w:szCs w:val="24"/>
          <w:highlight w:val="none"/>
        </w:rPr>
        <w:t xml:space="preserve">的递交</w:t>
      </w:r>
      <w:bookmarkEnd w:id="180"/>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outlineLvl w:val="2"/>
      </w:pPr>
      <w:r/>
      <w:bookmarkStart w:id="181" w:name="_Toc18146"/>
      <w:r>
        <w:rPr>
          <w:rFonts w:hint="eastAsia" w:ascii="仿宋" w:hAnsi="仿宋" w:eastAsia="仿宋" w:cs="仿宋"/>
          <w:color w:val="000000"/>
          <w:sz w:val="24"/>
          <w:szCs w:val="24"/>
          <w:highlight w:val="none"/>
        </w:rPr>
        <w:t xml:space="preserve">17.1 电子投标文件的递交</w:t>
      </w:r>
      <w:bookmarkEnd w:id="181"/>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应当按照《操作手册》规定，在投标截止时间前制作并上传电子投标文件。</w:t>
      </w:r>
      <w:bookmarkStart w:id="182" w:name="_Toc20823298"/>
      <w:r/>
      <w:bookmarkEnd w:id="182"/>
      <w:r/>
      <w:bookmarkStart w:id="183" w:name="_Toc16938542"/>
      <w:r/>
      <w:bookmarkEnd w:id="183"/>
      <w:r/>
      <w:bookmarkStart w:id="184" w:name="_Toc513029226"/>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85" w:name="_Toc12690"/>
      <w:r>
        <w:rPr>
          <w:rFonts w:hint="eastAsia" w:ascii="仿宋" w:hAnsi="仿宋" w:eastAsia="仿宋" w:cs="仿宋"/>
          <w:color w:val="000000"/>
          <w:sz w:val="24"/>
          <w:szCs w:val="24"/>
          <w:highlight w:val="none"/>
        </w:rPr>
        <w:t xml:space="preserve">18、投标截止时间</w:t>
      </w:r>
      <w:bookmarkEnd w:id="185"/>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i/>
          <w:color w:val="000000"/>
          <w:sz w:val="24"/>
          <w:szCs w:val="24"/>
          <w:highlight w:val="none"/>
          <w:u w:val="single"/>
        </w:rPr>
        <w:t xml:space="preserve">18.1</w:t>
      </w:r>
      <w:r>
        <w:rPr>
          <w:rFonts w:hint="eastAsia" w:ascii="仿宋" w:hAnsi="仿宋" w:eastAsia="仿宋" w:cs="仿宋"/>
          <w:i/>
          <w:color w:val="000000"/>
          <w:sz w:val="24"/>
          <w:szCs w:val="24"/>
          <w:highlight w:val="none"/>
          <w:u w:val="single"/>
          <w:lang w:eastAsia="zh-CN"/>
        </w:rPr>
        <w:t xml:space="preserve">投标供应商</w:t>
      </w:r>
      <w:r>
        <w:rPr>
          <w:rFonts w:hint="eastAsia" w:ascii="仿宋" w:hAnsi="仿宋" w:eastAsia="仿宋" w:cs="仿宋"/>
          <w:i/>
          <w:color w:val="000000"/>
          <w:sz w:val="24"/>
          <w:szCs w:val="24"/>
          <w:highlight w:val="none"/>
          <w:u w:val="single"/>
        </w:rPr>
        <w:t xml:space="preserve">上传电子投标文件的时间不得迟于招标公告中规定的投标截止时间。</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应充分考虑到网络环境、网络带宽等风险因素，如因</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自身原因造成的电子投标文件上传不成功的按照本</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第二章第26.1.2条 规定做无效投标处理。</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18.2采购人和采购代理机构可以按照规定，通过修改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酌情延长投标截止时间，在此情况下，</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的所有权利和义务以及</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受制的截止时间均应以延长后新的截止时间为准。</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86" w:name="_Toc20823299"/>
      <w:r/>
      <w:bookmarkStart w:id="187" w:name="_Toc16938543"/>
      <w:r/>
      <w:bookmarkStart w:id="188" w:name="_Toc513029227"/>
      <w:r/>
      <w:bookmarkStart w:id="189" w:name="_Toc28363"/>
      <w:r>
        <w:rPr>
          <w:rFonts w:hint="eastAsia" w:ascii="仿宋" w:hAnsi="仿宋" w:eastAsia="仿宋" w:cs="仿宋"/>
          <w:color w:val="000000"/>
          <w:sz w:val="24"/>
          <w:szCs w:val="24"/>
          <w:highlight w:val="none"/>
        </w:rPr>
        <w:t xml:space="preserve">19、投标文件</w:t>
      </w:r>
      <w:bookmarkEnd w:id="186"/>
      <w:r/>
      <w:bookmarkEnd w:id="187"/>
      <w:r/>
      <w:bookmarkEnd w:id="188"/>
      <w:r>
        <w:rPr>
          <w:rFonts w:hint="eastAsia" w:ascii="仿宋" w:hAnsi="仿宋" w:eastAsia="仿宋" w:cs="仿宋"/>
          <w:color w:val="000000"/>
          <w:sz w:val="24"/>
          <w:szCs w:val="24"/>
          <w:highlight w:val="none"/>
        </w:rPr>
        <w:t xml:space="preserve">的拒收</w:t>
      </w:r>
      <w:bookmarkEnd w:id="189"/>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19.1采购人和采购代理机构拒绝接收在其规定的投标截止时间后上传的任何投标文件。</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190" w:name="_Toc513029228"/>
      <w:r/>
      <w:bookmarkStart w:id="191" w:name="_Toc16938544"/>
      <w:r/>
      <w:bookmarkStart w:id="192" w:name="_Toc20823300"/>
      <w:r/>
      <w:bookmarkStart w:id="193" w:name="_Toc19704"/>
      <w:r>
        <w:rPr>
          <w:rFonts w:hint="eastAsia" w:ascii="仿宋" w:hAnsi="仿宋" w:eastAsia="仿宋" w:cs="仿宋"/>
          <w:color w:val="000000"/>
          <w:sz w:val="24"/>
          <w:szCs w:val="24"/>
          <w:highlight w:val="none"/>
        </w:rPr>
        <w:t xml:space="preserve">20、投标文件的撤回和修改</w:t>
      </w:r>
      <w:bookmarkEnd w:id="190"/>
      <w:r/>
      <w:bookmarkEnd w:id="191"/>
      <w:r/>
      <w:bookmarkEnd w:id="192"/>
      <w:r/>
      <w:bookmarkEnd w:id="193"/>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outlineLvl w:val="2"/>
      </w:pPr>
      <w:r/>
      <w:bookmarkStart w:id="194" w:name="_Toc2006"/>
      <w:r>
        <w:rPr>
          <w:rFonts w:hint="eastAsia" w:ascii="仿宋" w:hAnsi="仿宋" w:eastAsia="仿宋" w:cs="仿宋"/>
          <w:color w:val="000000"/>
          <w:sz w:val="24"/>
          <w:szCs w:val="24"/>
          <w:highlight w:val="none"/>
        </w:rPr>
        <w:t xml:space="preserve">20.1投标文件的撤回</w:t>
      </w:r>
      <w:bookmarkEnd w:id="194"/>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outlineLvl w:val="3"/>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.1.1电子投标文件的撤回</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可在投标截止时间前，撤回其电子投标文件，具体操作方法见《操作手册》。</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outlineLvl w:val="3"/>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撤回电子投标文件，则认为其不再参与本项目投标活动。</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outlineLvl w:val="2"/>
      </w:pPr>
      <w:r/>
      <w:bookmarkStart w:id="195" w:name="_Toc21053"/>
      <w:r>
        <w:rPr>
          <w:rFonts w:hint="eastAsia" w:ascii="仿宋" w:hAnsi="仿宋" w:eastAsia="仿宋" w:cs="仿宋"/>
          <w:color w:val="000000"/>
          <w:sz w:val="24"/>
          <w:szCs w:val="24"/>
          <w:highlight w:val="none"/>
        </w:rPr>
        <w:t xml:space="preserve">20.2 投标文件的修改</w:t>
      </w:r>
      <w:bookmarkEnd w:id="195"/>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20.2.1</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可在投标截止时间前，对其电子投标文件进行修改，具体操作方法见《操作手册》。</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20.2.2在投标截止时间之后，</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不得对其电子投标文件作任何修改。</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outlineLvl w:val="2"/>
      </w:pPr>
      <w:r/>
      <w:bookmarkStart w:id="196" w:name="_Toc20596"/>
      <w:r>
        <w:rPr>
          <w:rFonts w:hint="eastAsia" w:ascii="仿宋" w:hAnsi="仿宋" w:eastAsia="仿宋" w:cs="仿宋"/>
          <w:color w:val="000000"/>
          <w:sz w:val="24"/>
          <w:szCs w:val="24"/>
          <w:highlight w:val="none"/>
        </w:rPr>
        <w:t xml:space="preserve">20.3在投标截止时间至</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中规定的投标有效期满之间的这段时间内，</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不得撤回其投标。</w:t>
      </w:r>
      <w:bookmarkEnd w:id="196"/>
      <w:r/>
      <w:r/>
    </w:p>
    <w:p>
      <w:pPr>
        <w:pStyle w:val="661"/>
        <w:ind w:left="0" w:firstLine="482"/>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0"/>
      </w:pPr>
      <w:r/>
      <w:bookmarkStart w:id="197" w:name="_Toc4297"/>
      <w:r/>
      <w:bookmarkStart w:id="198" w:name="_Toc120614218"/>
      <w:r/>
      <w:bookmarkStart w:id="199" w:name="_Toc20823301"/>
      <w:r/>
      <w:bookmarkStart w:id="200" w:name="_Toc513029229"/>
      <w:r/>
      <w:bookmarkStart w:id="201" w:name="_Toc4665"/>
      <w:r/>
      <w:bookmarkStart w:id="202" w:name="_Toc16938545"/>
      <w:r>
        <w:rPr>
          <w:rFonts w:hint="eastAsia" w:ascii="仿宋" w:hAnsi="仿宋" w:eastAsia="仿宋" w:cs="仿宋"/>
          <w:b/>
          <w:color w:val="000000"/>
          <w:sz w:val="24"/>
          <w:szCs w:val="24"/>
          <w:highlight w:val="none"/>
        </w:rPr>
        <w:t xml:space="preserve">五、开标与评标</w:t>
      </w:r>
      <w:bookmarkEnd w:id="197"/>
      <w:r/>
      <w:bookmarkEnd w:id="198"/>
      <w:r/>
      <w:bookmarkEnd w:id="199"/>
      <w:r/>
      <w:bookmarkEnd w:id="200"/>
      <w:r/>
      <w:bookmarkEnd w:id="201"/>
      <w:r/>
      <w:bookmarkEnd w:id="202"/>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3" w:name="_Toc513029230"/>
      <w:r/>
      <w:bookmarkStart w:id="204" w:name="_Toc22946"/>
      <w:r/>
      <w:bookmarkStart w:id="205" w:name="_Toc20823302"/>
      <w:r/>
      <w:bookmarkStart w:id="206" w:name="_Toc16938546"/>
      <w:r>
        <w:rPr>
          <w:rFonts w:hint="eastAsia" w:ascii="仿宋" w:hAnsi="仿宋" w:eastAsia="仿宋" w:cs="仿宋"/>
          <w:color w:val="auto"/>
          <w:sz w:val="24"/>
          <w:szCs w:val="24"/>
          <w:highlight w:val="none"/>
        </w:rPr>
        <w:t xml:space="preserve">21、开标</w:t>
      </w:r>
      <w:bookmarkEnd w:id="203"/>
      <w:r/>
      <w:bookmarkEnd w:id="204"/>
      <w:r/>
      <w:bookmarkEnd w:id="205"/>
      <w:r/>
      <w:bookmarkEnd w:id="206"/>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21.1采购人和采购代理机构将在招标公告中规定的时间和地点组织公开开标。</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应当按照《操作手册》规定，参加开标活动和在苏采云系统规定的时间内对投标文件进行解密。</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21.2开标仪式由采购人和采购代理机构组织。苏采云系统将自动对项目进行开标，并宣布各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名称和投标价格。</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在开标过程中涉及到的投标文件解密、开标结果确认等工作，应按照《操作手册》规定执行。</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如果对开标过程和开标记录有疑义，应当根据《操作手册》规定提出，如苏采云系统中《开标记录表》宣布后5分钟内未提出的，视同认可开标结果。</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07" w:name="_Toc513029231"/>
      <w:r/>
      <w:bookmarkStart w:id="208" w:name="_Toc22381"/>
      <w:r/>
      <w:bookmarkStart w:id="209" w:name="_Toc16938547"/>
      <w:r/>
      <w:bookmarkStart w:id="210" w:name="_Toc20823303"/>
      <w:r>
        <w:rPr>
          <w:rFonts w:hint="eastAsia" w:ascii="仿宋" w:hAnsi="仿宋" w:eastAsia="仿宋" w:cs="仿宋"/>
          <w:color w:val="auto"/>
          <w:sz w:val="24"/>
          <w:szCs w:val="24"/>
          <w:highlight w:val="none"/>
        </w:rPr>
        <w:t xml:space="preserve">22、评标委员会</w:t>
      </w:r>
      <w:bookmarkEnd w:id="207"/>
      <w:r/>
      <w:bookmarkEnd w:id="208"/>
      <w:r/>
      <w:bookmarkEnd w:id="209"/>
      <w:r/>
      <w:bookmarkEnd w:id="210"/>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22.1开标后，采购人和采购代理机构将立即组织评标委员会（以下简称评委会）进行评标。</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22.2评委会由采购人代表和有关技术、经济等方面的专家组成，且人员构成符合政府采购有关规定。</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22.3评委会独立工作，负责评审所有投标文件并确定中标</w:t>
      </w:r>
      <w:r>
        <w:rPr>
          <w:rFonts w:hint="eastAsia" w:ascii="仿宋" w:hAnsi="仿宋" w:eastAsia="仿宋" w:cs="仿宋"/>
          <w:color w:val="000000"/>
          <w:sz w:val="24"/>
          <w:szCs w:val="24"/>
          <w:highlight w:val="none"/>
          <w:lang w:eastAsia="zh-CN"/>
        </w:rPr>
        <w:t xml:space="preserve">候选人</w:t>
      </w:r>
      <w:r>
        <w:rPr>
          <w:rFonts w:hint="eastAsia" w:ascii="仿宋" w:hAnsi="仿宋" w:eastAsia="仿宋" w:cs="仿宋"/>
          <w:color w:val="000000"/>
          <w:sz w:val="24"/>
          <w:szCs w:val="24"/>
          <w:highlight w:val="none"/>
        </w:rPr>
        <w:t xml:space="preserve">。</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211" w:name="_Toc13162"/>
      <w:r>
        <w:rPr>
          <w:rFonts w:hint="eastAsia" w:ascii="仿宋" w:hAnsi="仿宋" w:eastAsia="仿宋" w:cs="仿宋"/>
          <w:color w:val="000000"/>
          <w:sz w:val="24"/>
          <w:szCs w:val="24"/>
          <w:highlight w:val="none"/>
        </w:rPr>
        <w:t xml:space="preserve">23、评标过程的保密与公正</w:t>
      </w:r>
      <w:bookmarkEnd w:id="211"/>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23.1凡是与审查、澄清、评价和比较投标的有关资料以及授标建议等，采购人、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评委、采购中心均不得向</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或与评标无关的其他人员透露。</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23.2在评标过程中，</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不得以任何行为影响评标过程，否则其投标文件将被作为无效投标文件。</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23.</w:t>
      </w:r>
      <w:r>
        <w:rPr>
          <w:rFonts w:hint="eastAsia" w:ascii="仿宋" w:hAnsi="仿宋" w:eastAsia="仿宋" w:cs="仿宋"/>
          <w:color w:val="auto"/>
          <w:sz w:val="24"/>
          <w:szCs w:val="24"/>
          <w:highlight w:val="none"/>
        </w:rPr>
        <w:t xml:space="preserve">3采购人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采购代理机构和评标委员会不向未中标的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解释未中标原因，也不公布评标过程中的相关细节。</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rPr>
        <w:t xml:space="preserve">23.4采用综合评分法的项目，未中标的</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可于中标结果公告期限届满之日起通过苏采云系统查看自己的评审得分及排序情况。</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212" w:name="_Toc513029232"/>
      <w:r/>
      <w:bookmarkStart w:id="213" w:name="_Toc16938548"/>
      <w:r/>
      <w:bookmarkStart w:id="214" w:name="_Toc27399"/>
      <w:r/>
      <w:bookmarkStart w:id="215" w:name="_Toc20823304"/>
      <w:r>
        <w:rPr>
          <w:rFonts w:hint="eastAsia" w:ascii="仿宋" w:hAnsi="仿宋" w:eastAsia="仿宋" w:cs="仿宋"/>
          <w:color w:val="000000"/>
          <w:sz w:val="24"/>
          <w:szCs w:val="24"/>
          <w:highlight w:val="none"/>
        </w:rPr>
        <w:t xml:space="preserve">24、投标文件的澄清</w:t>
      </w:r>
      <w:bookmarkEnd w:id="212"/>
      <w:r/>
      <w:bookmarkEnd w:id="213"/>
      <w:r/>
      <w:bookmarkEnd w:id="214"/>
      <w:r/>
      <w:bookmarkEnd w:id="215"/>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24.1评标期间，评委会对投标文件中含义不明确、同类问题表述不一致或者有明显文字和计算错误的内容 ，有权要求</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作出必要的澄清、说明或者补正。</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的澄清、说明或者补正不得超出投标文件的范围或者改变投标文件的实质性内容。</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评标委员会并非对每个</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都做澄清要求。</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24.2需要供应商进行澄清、说明和补正的，评委会将通过苏采云系统向供应商发出“澄清要求函”，接到“澄清要求函”的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应当按照要求在苏采云系统中提交“澄清响应函”并加盖CA电子公章。澄清、说明和补正的内容作为</w:t>
      </w:r>
      <w:r>
        <w:rPr>
          <w:rFonts w:hint="eastAsia" w:ascii="仿宋" w:hAnsi="仿宋" w:eastAsia="仿宋" w:cs="仿宋"/>
          <w:color w:val="000000"/>
          <w:sz w:val="24"/>
          <w:szCs w:val="24"/>
          <w:highlight w:val="none"/>
        </w:rPr>
        <w:t xml:space="preserve">投标文件的补充部分，具体操作方式见《操作手册》。</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24.3接到评委会澄清、说明和补正要求的</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如未按规定</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澄清、说明和补正，其风险由</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自行承担。</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216" w:name="_Toc16938549"/>
      <w:r/>
      <w:bookmarkStart w:id="217" w:name="_Toc15976"/>
      <w:r/>
      <w:bookmarkStart w:id="218" w:name="_Toc20823305"/>
      <w:r/>
      <w:bookmarkStart w:id="219" w:name="_Toc513029233"/>
      <w:r>
        <w:rPr>
          <w:rFonts w:hint="eastAsia" w:ascii="仿宋" w:hAnsi="仿宋" w:eastAsia="仿宋" w:cs="仿宋"/>
          <w:color w:val="000000"/>
          <w:sz w:val="24"/>
          <w:szCs w:val="24"/>
          <w:highlight w:val="none"/>
        </w:rPr>
        <w:t xml:space="preserve">25、对投标文件的初审</w:t>
      </w:r>
      <w:bookmarkEnd w:id="216"/>
      <w:r/>
      <w:bookmarkEnd w:id="217"/>
      <w:r/>
      <w:bookmarkEnd w:id="218"/>
      <w:r/>
      <w:bookmarkEnd w:id="219"/>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25.1投标文件初审分为资格审查和符合性审查。</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25.1.1资格审查：依据法律法规和</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的规定，由采购人对投标文件中的资格证明文件进行审查。资格审查的结论，采购人以书面形式向评委会进行反馈。</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采购人在进行资格性审查的同时，将在“信用中国”网站（www.creditchina.gov.cn）查询</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的信用记录，以确定</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是否具备投标资格,查询结果留存并归档。</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25.1.2符合性审查：依据</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的规定，由评委会从投标文件的有效性、完整性和对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的响应程度进行审查，以确定是否对</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的实质性要求作出响应。</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25.1.3未通过资格审查或符合性审查的</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将在苏采云系统中告知未通过资格审查或符合性审查的原因，评标结束后，</w:t>
      </w:r>
      <w:r>
        <w:rPr>
          <w:rFonts w:hint="eastAsia" w:ascii="仿宋" w:hAnsi="仿宋" w:eastAsia="仿宋" w:cs="仿宋"/>
          <w:color w:val="auto"/>
          <w:sz w:val="24"/>
          <w:szCs w:val="24"/>
          <w:highlight w:val="none"/>
          <w:lang w:val="en-US" w:eastAsia="zh-CN"/>
        </w:rPr>
        <w:t xml:space="preserve">采购人和采购代理机构</w:t>
      </w:r>
      <w:r>
        <w:rPr>
          <w:rFonts w:hint="eastAsia" w:ascii="仿宋" w:hAnsi="仿宋" w:eastAsia="仿宋" w:cs="仿宋"/>
          <w:color w:val="auto"/>
          <w:sz w:val="24"/>
          <w:szCs w:val="24"/>
          <w:highlight w:val="none"/>
        </w:rPr>
        <w:t xml:space="preserve">将不再告知</w:t>
      </w:r>
      <w:r>
        <w:rPr>
          <w:rFonts w:hint="eastAsia" w:ascii="仿宋" w:hAnsi="仿宋" w:eastAsia="仿宋" w:cs="仿宋"/>
          <w:color w:val="000000"/>
          <w:sz w:val="24"/>
          <w:szCs w:val="24"/>
          <w:highlight w:val="none"/>
        </w:rPr>
        <w:t xml:space="preserve">未通过资格审查和符合性审查的原因。</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25.2在详细评标之前，评委会将首先审查每份投标文件是否实质性响应了</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的要求。实质性响应的投标应该是与</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要求的全部条款、条件和规格相符，没有重大偏离或保留的投标。</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所谓重大偏离或保留是指与</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规定的实质性要求存在负偏离，或者在实质上与</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不一致，而且限制了合同中买方和</w:t>
      </w:r>
      <w:r>
        <w:rPr>
          <w:rFonts w:hint="eastAsia" w:ascii="仿宋" w:hAnsi="仿宋" w:eastAsia="仿宋" w:cs="仿宋"/>
          <w:color w:val="000000"/>
          <w:sz w:val="24"/>
          <w:szCs w:val="24"/>
          <w:highlight w:val="none"/>
          <w:lang w:val="en-US" w:eastAsia="zh-CN"/>
        </w:rPr>
        <w:t xml:space="preserve">采购人</w:t>
      </w:r>
      <w:r>
        <w:rPr>
          <w:rFonts w:hint="eastAsia" w:ascii="仿宋" w:hAnsi="仿宋" w:eastAsia="仿宋" w:cs="仿宋"/>
          <w:color w:val="000000"/>
          <w:sz w:val="24"/>
          <w:szCs w:val="24"/>
          <w:highlight w:val="none"/>
        </w:rPr>
        <w:t xml:space="preserve">的权利或</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的义务，纠正这些偏离或保留将会对其他实质性响应要求的</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的竞争地位产生不公正的影响。重大偏离的认定需经过评委会以少数服从多数的原则作出结论。评委决定投标文件的响应性只根据投标文件本身的内容，而不寻求外部的证据。</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25.3如果投标文件实质上没有响应</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的要求，评委会将予以拒绝，</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不得通过修改或撤销不合要求的偏离或保留而使其投标成为实质性响应的投标。</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25.4评委会将对确定为实质性响应的投标进行进一步审核，确定其是否有计算上或累加上的算术错误，修正错误的原则如下：</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（1）投标文件中开标一览表内容与投标文件中相应内容不一致的，以开标一览表为准。</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（2）大写金额和小写金额不一致的，以大写金额为准。</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（3）单价金额小数点或者百分比有明显错位的，以开标一览表的总价为准，并修改单价。</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（4）总价金额与按单价汇总金额不一致的，以单价金额计算结果为准。</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25.5评委会将按上述修正错误的方法调整投标文件中的投标报价，并通过苏采云系统告知</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，调整后的价格应对</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具有约束力。如果</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不接受修正后的价格，则其投标将被拒绝。</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bookmarkStart w:id="220" w:name="_Toc16938550"/>
      <w:r/>
      <w:bookmarkStart w:id="221" w:name="_Toc20823306"/>
      <w:r/>
      <w:bookmarkStart w:id="222" w:name="_Toc513029234"/>
      <w:r>
        <w:rPr>
          <w:rFonts w:hint="eastAsia" w:ascii="仿宋" w:hAnsi="仿宋" w:eastAsia="仿宋" w:cs="仿宋"/>
          <w:color w:val="auto"/>
          <w:sz w:val="24"/>
          <w:szCs w:val="24"/>
          <w:highlight w:val="none"/>
        </w:rPr>
        <w:t xml:space="preserve">25.6</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在开、评标全过程中应</w:t>
      </w:r>
      <w:r>
        <w:rPr>
          <w:rFonts w:hint="eastAsia" w:ascii="仿宋" w:hAnsi="仿宋" w:eastAsia="仿宋" w:cs="仿宋"/>
          <w:color w:val="auto"/>
          <w:sz w:val="24"/>
          <w:szCs w:val="24"/>
          <w:highlight w:val="none"/>
          <w:lang w:eastAsia="zh-CN"/>
        </w:rPr>
        <w:t xml:space="preserve">保持通信畅通</w:t>
      </w:r>
      <w:r>
        <w:rPr>
          <w:rFonts w:hint="eastAsia" w:ascii="仿宋" w:hAnsi="仿宋" w:eastAsia="仿宋" w:cs="仿宋"/>
          <w:color w:val="auto"/>
          <w:sz w:val="24"/>
          <w:szCs w:val="24"/>
          <w:highlight w:val="none"/>
        </w:rPr>
        <w:t xml:space="preserve">，及时登录苏采云系统查阅、答复相关信息，并安排专人与</w:t>
      </w:r>
      <w:r>
        <w:rPr>
          <w:rFonts w:hint="eastAsia" w:ascii="仿宋" w:hAnsi="仿宋" w:eastAsia="仿宋" w:cs="仿宋"/>
          <w:color w:val="auto"/>
          <w:sz w:val="24"/>
          <w:szCs w:val="24"/>
          <w:highlight w:val="none"/>
          <w:lang w:val="en-US" w:eastAsia="zh-CN"/>
        </w:rPr>
        <w:t xml:space="preserve">采购人、采购代理机构</w:t>
      </w:r>
      <w:r>
        <w:rPr>
          <w:rFonts w:hint="eastAsia" w:ascii="仿宋" w:hAnsi="仿宋" w:eastAsia="仿宋" w:cs="仿宋"/>
          <w:color w:val="auto"/>
          <w:sz w:val="24"/>
          <w:szCs w:val="24"/>
          <w:highlight w:val="none"/>
        </w:rPr>
        <w:t xml:space="preserve">及评标委员会联系。</w:t>
      </w:r>
      <w:bookmarkEnd w:id="220"/>
      <w:r/>
      <w:bookmarkEnd w:id="221"/>
      <w:r/>
      <w:bookmarkEnd w:id="222"/>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color w:val="auto"/>
          <w:sz w:val="24"/>
          <w:szCs w:val="24"/>
          <w:highlight w:val="none"/>
        </w:rPr>
        <w:outlineLvl w:val="1"/>
      </w:pPr>
      <w:r/>
      <w:bookmarkStart w:id="223" w:name="_Toc32460"/>
      <w:r>
        <w:rPr>
          <w:rFonts w:hint="eastAsia" w:ascii="仿宋" w:hAnsi="仿宋" w:eastAsia="仿宋" w:cs="仿宋"/>
          <w:color w:val="auto"/>
          <w:sz w:val="24"/>
          <w:szCs w:val="24"/>
          <w:highlight w:val="none"/>
        </w:rPr>
        <w:t xml:space="preserve">26、无效投标条款和废标条款</w:t>
      </w:r>
      <w:bookmarkEnd w:id="223"/>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4" w:name="_Toc20823307"/>
      <w:r/>
      <w:bookmarkStart w:id="225" w:name="_Toc16938551"/>
      <w:r/>
      <w:bookmarkStart w:id="226" w:name="_Toc21117"/>
      <w:r/>
      <w:bookmarkStart w:id="227" w:name="_Toc513029235"/>
      <w:r>
        <w:rPr>
          <w:rFonts w:hint="eastAsia" w:ascii="仿宋" w:hAnsi="仿宋" w:eastAsia="仿宋" w:cs="仿宋"/>
          <w:b/>
          <w:bCs/>
          <w:color w:val="auto"/>
          <w:sz w:val="24"/>
          <w:szCs w:val="24"/>
          <w:highlight w:val="none"/>
        </w:rPr>
        <w:t xml:space="preserve">26.1无效投标条款</w:t>
      </w:r>
      <w:bookmarkEnd w:id="224"/>
      <w:r/>
      <w:bookmarkEnd w:id="225"/>
      <w:r/>
      <w:bookmarkEnd w:id="226"/>
      <w:r/>
      <w:bookmarkEnd w:id="227"/>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在苏采云系统规定的时间内未成功解密电子投标文件的。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26.1.2</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要求上传电子投标文件的。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26.1.3同一</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提交两个（含两个）以上不同的投标报价的。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26.1.4</w:t>
      </w:r>
      <w:r>
        <w:rPr>
          <w:rFonts w:hint="eastAsia" w:ascii="仿宋" w:hAnsi="仿宋" w:eastAsia="仿宋" w:cs="仿宋"/>
          <w:b/>
          <w:bCs/>
          <w:color w:val="auto"/>
          <w:sz w:val="24"/>
          <w:szCs w:val="24"/>
          <w:highlight w:val="none"/>
          <w:lang w:eastAsia="zh-CN"/>
        </w:rPr>
        <w:t xml:space="preserve">投标供应商</w:t>
      </w:r>
      <w:r>
        <w:rPr>
          <w:rFonts w:hint="eastAsia" w:ascii="仿宋" w:hAnsi="仿宋" w:eastAsia="仿宋" w:cs="仿宋"/>
          <w:b/>
          <w:bCs/>
          <w:color w:val="auto"/>
          <w:sz w:val="24"/>
          <w:szCs w:val="24"/>
          <w:highlight w:val="none"/>
        </w:rPr>
        <w:t xml:space="preserve">不具备</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中规定资格要求的。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26.1.5</w:t>
      </w:r>
      <w:r>
        <w:rPr>
          <w:rFonts w:hint="eastAsia" w:ascii="仿宋" w:hAnsi="仿宋" w:eastAsia="仿宋" w:cs="仿宋"/>
          <w:b/>
          <w:bCs/>
          <w:color w:val="000000"/>
          <w:sz w:val="24"/>
          <w:szCs w:val="24"/>
          <w:highlight w:val="none"/>
          <w:lang w:eastAsia="zh-CN"/>
        </w:rPr>
        <w:t xml:space="preserve">投标供应商</w:t>
      </w:r>
      <w:r>
        <w:rPr>
          <w:rFonts w:hint="eastAsia" w:ascii="仿宋" w:hAnsi="仿宋" w:eastAsia="仿宋" w:cs="仿宋"/>
          <w:b/>
          <w:bCs/>
          <w:color w:val="000000"/>
          <w:sz w:val="24"/>
          <w:szCs w:val="24"/>
          <w:highlight w:val="none"/>
        </w:rPr>
        <w:t xml:space="preserve">的报价超过了采购预算或最高限价的。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26.1.6未通过符合性审查的。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26.1.7不符合</w:t>
      </w:r>
      <w:r>
        <w:rPr>
          <w:rFonts w:hint="eastAsia" w:ascii="仿宋" w:hAnsi="仿宋" w:eastAsia="仿宋" w:cs="仿宋"/>
          <w:b/>
          <w:bCs/>
          <w:color w:val="000000"/>
          <w:sz w:val="24"/>
          <w:szCs w:val="24"/>
          <w:highlight w:val="none"/>
          <w:lang w:eastAsia="zh-CN"/>
        </w:rPr>
        <w:t xml:space="preserve">采购文件</w:t>
      </w:r>
      <w:r>
        <w:rPr>
          <w:rFonts w:hint="eastAsia" w:ascii="仿宋" w:hAnsi="仿宋" w:eastAsia="仿宋" w:cs="仿宋"/>
          <w:b/>
          <w:bCs/>
          <w:color w:val="000000"/>
          <w:sz w:val="24"/>
          <w:szCs w:val="24"/>
          <w:highlight w:val="none"/>
        </w:rPr>
        <w:t xml:space="preserve">中规定的实质性要求和条件的（</w:t>
      </w:r>
      <w:r>
        <w:rPr>
          <w:rFonts w:hint="eastAsia" w:ascii="仿宋" w:hAnsi="仿宋" w:eastAsia="仿宋" w:cs="仿宋"/>
          <w:b/>
          <w:bCs/>
          <w:i/>
          <w:color w:val="000000"/>
          <w:sz w:val="24"/>
          <w:szCs w:val="24"/>
          <w:highlight w:val="none"/>
          <w:u w:val="single"/>
        </w:rPr>
        <w:t xml:space="preserve">本</w:t>
      </w:r>
      <w:r>
        <w:rPr>
          <w:rFonts w:hint="eastAsia" w:ascii="仿宋" w:hAnsi="仿宋" w:eastAsia="仿宋" w:cs="仿宋"/>
          <w:b/>
          <w:bCs/>
          <w:i/>
          <w:color w:val="000000"/>
          <w:sz w:val="24"/>
          <w:szCs w:val="24"/>
          <w:highlight w:val="none"/>
          <w:u w:val="single"/>
          <w:lang w:eastAsia="zh-CN"/>
        </w:rPr>
        <w:t xml:space="preserve">采购文件</w:t>
      </w:r>
      <w:r>
        <w:rPr>
          <w:rFonts w:hint="eastAsia" w:ascii="仿宋" w:hAnsi="仿宋" w:eastAsia="仿宋" w:cs="仿宋"/>
          <w:b/>
          <w:bCs/>
          <w:i/>
          <w:color w:val="000000"/>
          <w:sz w:val="24"/>
          <w:szCs w:val="24"/>
          <w:highlight w:val="none"/>
          <w:u w:val="single"/>
        </w:rPr>
        <w:t xml:space="preserve">中斜体且有下划线部分为实质性要求和条件）。</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26.1.8</w:t>
      </w:r>
      <w:r>
        <w:rPr>
          <w:rFonts w:hint="eastAsia" w:ascii="仿宋" w:hAnsi="仿宋" w:eastAsia="仿宋" w:cs="仿宋"/>
          <w:b/>
          <w:bCs/>
          <w:color w:val="000000"/>
          <w:sz w:val="24"/>
          <w:szCs w:val="24"/>
          <w:highlight w:val="none"/>
          <w:lang w:eastAsia="zh-CN"/>
        </w:rPr>
        <w:t xml:space="preserve">投标供应商</w:t>
      </w:r>
      <w:r>
        <w:rPr>
          <w:rFonts w:hint="eastAsia" w:ascii="仿宋" w:hAnsi="仿宋" w:eastAsia="仿宋" w:cs="仿宋"/>
          <w:b/>
          <w:bCs/>
          <w:color w:val="000000"/>
          <w:sz w:val="24"/>
          <w:szCs w:val="24"/>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bCs/>
          <w:color w:val="000000"/>
          <w:sz w:val="24"/>
          <w:szCs w:val="24"/>
          <w:highlight w:val="none"/>
          <w:lang w:eastAsia="zh-CN"/>
        </w:rPr>
        <w:t xml:space="preserve">投标供应商</w:t>
      </w:r>
      <w:r>
        <w:rPr>
          <w:rFonts w:hint="eastAsia" w:ascii="仿宋" w:hAnsi="仿宋" w:eastAsia="仿宋" w:cs="仿宋"/>
          <w:b/>
          <w:bCs/>
          <w:color w:val="000000"/>
          <w:sz w:val="24"/>
          <w:szCs w:val="24"/>
          <w:highlight w:val="none"/>
        </w:rPr>
        <w:t xml:space="preserve">存在其他不符合《中华人民共和国政府采购法》第二十二条规定条件的信用记录。</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26.1.9投标文件含有采购人不能接受的附加条件的。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yellow"/>
        </w:rPr>
      </w:pPr>
      <w:r>
        <w:rPr>
          <w:rFonts w:hint="eastAsia" w:ascii="仿宋" w:hAnsi="仿宋" w:eastAsia="仿宋" w:cs="仿宋"/>
          <w:b/>
          <w:bCs/>
          <w:color w:val="000000"/>
          <w:sz w:val="24"/>
          <w:szCs w:val="24"/>
          <w:highlight w:val="yellow"/>
        </w:rPr>
        <w:t xml:space="preserve">26.1.10</w:t>
      </w:r>
      <w:r>
        <w:rPr>
          <w:rFonts w:hint="eastAsia" w:ascii="仿宋" w:hAnsi="仿宋" w:eastAsia="仿宋" w:cs="仿宋"/>
          <w:b/>
          <w:bCs/>
          <w:color w:val="auto"/>
          <w:sz w:val="24"/>
          <w:szCs w:val="24"/>
          <w:highlight w:val="yellow"/>
          <w:lang w:eastAsia="zh-CN"/>
        </w:rPr>
        <w:t xml:space="preserve">投标供应商</w:t>
      </w:r>
      <w:r>
        <w:rPr>
          <w:rFonts w:hint="eastAsia" w:ascii="仿宋" w:hAnsi="仿宋" w:eastAsia="仿宋" w:cs="仿宋"/>
          <w:b/>
          <w:bCs/>
          <w:color w:val="auto"/>
          <w:sz w:val="24"/>
          <w:szCs w:val="24"/>
          <w:highlight w:val="yellow"/>
        </w:rPr>
        <w:t xml:space="preserve">不能证明其报价合理性的，评</w:t>
      </w:r>
      <w:r>
        <w:rPr>
          <w:rFonts w:hint="eastAsia" w:ascii="仿宋" w:hAnsi="仿宋" w:eastAsia="仿宋" w:cs="仿宋"/>
          <w:b/>
          <w:bCs/>
          <w:color w:val="auto"/>
          <w:sz w:val="24"/>
          <w:szCs w:val="24"/>
          <w:highlight w:val="yellow"/>
          <w:lang w:val="en-US" w:eastAsia="zh-CN"/>
        </w:rPr>
        <w:t xml:space="preserve">标</w:t>
      </w:r>
      <w:r>
        <w:rPr>
          <w:rFonts w:hint="eastAsia" w:ascii="仿宋" w:hAnsi="仿宋" w:eastAsia="仿宋" w:cs="仿宋"/>
          <w:b/>
          <w:bCs/>
          <w:color w:val="auto"/>
          <w:sz w:val="24"/>
          <w:szCs w:val="24"/>
          <w:highlight w:val="yellow"/>
        </w:rPr>
        <w:t xml:space="preserve">委员会应当将其作为无效投标处理。</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000000"/>
          <w:sz w:val="24"/>
          <w:szCs w:val="24"/>
          <w:highlight w:val="yellow"/>
          <w:lang w:val="en-US" w:eastAsia="zh-CN" w:bidi="ar-SA"/>
        </w:rPr>
      </w:pPr>
      <w:r>
        <w:rPr>
          <w:rFonts w:hint="eastAsia" w:ascii="仿宋" w:hAnsi="仿宋" w:eastAsia="仿宋" w:cs="仿宋"/>
          <w:b/>
          <w:bCs/>
          <w:color w:val="000000"/>
          <w:sz w:val="24"/>
          <w:szCs w:val="24"/>
          <w:highlight w:val="yellow"/>
          <w:lang w:val="en-US" w:eastAsia="zh-CN" w:bidi="ar-SA"/>
        </w:rPr>
        <w:t xml:space="preserve">（一）评审过程中出现下列情形之一的，评标委员会应当启动异常低价投标审查程序：</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000000"/>
          <w:sz w:val="24"/>
          <w:szCs w:val="24"/>
          <w:highlight w:val="yellow"/>
          <w:lang w:val="en-US" w:eastAsia="zh-CN" w:bidi="ar-SA"/>
        </w:rPr>
      </w:pPr>
      <w:r>
        <w:rPr>
          <w:rFonts w:hint="eastAsia" w:ascii="仿宋" w:hAnsi="仿宋" w:eastAsia="仿宋" w:cs="仿宋"/>
          <w:b/>
          <w:bCs/>
          <w:color w:val="000000"/>
          <w:sz w:val="24"/>
          <w:szCs w:val="24"/>
          <w:highlight w:val="yellow"/>
          <w:lang w:val="en-US" w:eastAsia="zh-CN" w:bidi="ar-SA"/>
        </w:rPr>
        <w:t xml:space="preserve">1.投标报价低于采购项目预算50% 的，即投标报价&lt;采购项目预算×50%；</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000000"/>
          <w:sz w:val="24"/>
          <w:szCs w:val="24"/>
          <w:highlight w:val="yellow"/>
          <w:lang w:val="en-US" w:eastAsia="zh-CN" w:bidi="ar-SA"/>
        </w:rPr>
      </w:pPr>
      <w:r>
        <w:rPr>
          <w:rFonts w:hint="eastAsia" w:ascii="仿宋" w:hAnsi="仿宋" w:eastAsia="仿宋" w:cs="仿宋"/>
          <w:b/>
          <w:bCs/>
          <w:color w:val="000000"/>
          <w:sz w:val="24"/>
          <w:szCs w:val="24"/>
          <w:highlight w:val="yellow"/>
          <w:lang w:val="en-US" w:eastAsia="zh-CN" w:bidi="ar-SA"/>
        </w:rPr>
        <w:t xml:space="preserve">2.投标报价低于采购项目最高限价45% 的，即投标报价&lt;采购项目最高限价×45%；</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000000"/>
          <w:sz w:val="24"/>
          <w:szCs w:val="24"/>
          <w:highlight w:val="yellow"/>
          <w:lang w:val="en-US" w:eastAsia="zh-CN" w:bidi="ar-SA"/>
        </w:rPr>
      </w:pPr>
      <w:r>
        <w:rPr>
          <w:rFonts w:hint="eastAsia" w:ascii="仿宋" w:hAnsi="仿宋" w:eastAsia="仿宋" w:cs="仿宋"/>
          <w:b/>
          <w:bCs/>
          <w:color w:val="000000"/>
          <w:sz w:val="24"/>
          <w:szCs w:val="24"/>
          <w:highlight w:val="yellow"/>
          <w:lang w:val="en-US" w:eastAsia="zh-CN" w:bidi="ar-SA"/>
        </w:rPr>
        <w:t xml:space="preserve">3.评标委员会认定的供应商报价过低、有可能影响产品质量或者不能诚信履约的其他情形。</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yellow"/>
        </w:rPr>
      </w:pPr>
      <w:r>
        <w:rPr>
          <w:rFonts w:hint="eastAsia" w:ascii="仿宋" w:hAnsi="仿宋" w:eastAsia="仿宋" w:cs="仿宋"/>
          <w:b/>
          <w:bCs/>
          <w:color w:val="000000"/>
          <w:sz w:val="24"/>
          <w:szCs w:val="24"/>
          <w:highlight w:val="yellow"/>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26.1.11投标文件未按照</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要求加盖CA电子公章的。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26.1.12其他法律、法规及本</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规定的属无效投标的情形。</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8" w:name="_Toc2946"/>
      <w:r>
        <w:rPr>
          <w:rFonts w:hint="eastAsia" w:ascii="仿宋" w:hAnsi="仿宋" w:eastAsia="仿宋" w:cs="仿宋"/>
          <w:b/>
          <w:bCs/>
          <w:color w:val="auto"/>
          <w:sz w:val="24"/>
          <w:szCs w:val="24"/>
          <w:highlight w:val="none"/>
        </w:rPr>
        <w:t xml:space="preserve">26.2废标条款</w:t>
      </w:r>
      <w:bookmarkEnd w:id="228"/>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26.2.1符合专业条件的供应商或者对</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作实质响应的供应商不足三家的。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26.2.2出现影响采购公正的违法、违规行为的。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26.2.3因重大变故，采购任务取消的。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26.2.4评标委员会认定</w:t>
      </w:r>
      <w:r>
        <w:rPr>
          <w:rFonts w:hint="eastAsia" w:ascii="仿宋" w:hAnsi="仿宋" w:eastAsia="仿宋" w:cs="仿宋"/>
          <w:b/>
          <w:bCs/>
          <w:color w:val="auto"/>
          <w:sz w:val="24"/>
          <w:szCs w:val="24"/>
          <w:highlight w:val="none"/>
          <w:lang w:eastAsia="zh-CN"/>
        </w:rPr>
        <w:t xml:space="preserve">采购文件</w:t>
      </w:r>
      <w:r>
        <w:rPr>
          <w:rFonts w:hint="eastAsia" w:ascii="仿宋" w:hAnsi="仿宋" w:eastAsia="仿宋" w:cs="仿宋"/>
          <w:b/>
          <w:bCs/>
          <w:color w:val="auto"/>
          <w:sz w:val="24"/>
          <w:szCs w:val="24"/>
          <w:highlight w:val="none"/>
        </w:rPr>
        <w:t xml:space="preserve">存在歧义、重大缺陷导致评审工作无法进行。</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26.2.5因苏采云系统系统故障原因造成开标不成功的。</w:t>
      </w:r>
      <w:r/>
    </w:p>
    <w:p>
      <w:pPr>
        <w:pStyle w:val="661"/>
        <w:ind w:left="0" w:firstLine="482"/>
        <w:jc w:val="both"/>
        <w:pageBreakBefore w:val="0"/>
        <w:spacing w:beforeAutospacing="0" w:afterAutospacing="0" w:line="520" w:lineRule="exact"/>
        <w:widowControl w:val="off"/>
        <w:rPr>
          <w:rFonts w:hint="eastAsia" w:ascii="仿宋" w:hAnsi="仿宋" w:eastAsia="仿宋" w:cs="仿宋"/>
          <w:b/>
          <w:bCs/>
          <w:color w:val="auto"/>
          <w:sz w:val="24"/>
          <w:szCs w:val="24"/>
          <w:highlight w:val="none"/>
        </w:rPr>
        <w:outlineLvl w:val="2"/>
      </w:pPr>
      <w:r/>
      <w:bookmarkStart w:id="229" w:name="_Toc11287"/>
      <w:r>
        <w:rPr>
          <w:rFonts w:hint="eastAsia" w:ascii="仿宋" w:hAnsi="仿宋" w:eastAsia="仿宋" w:cs="仿宋"/>
          <w:b/>
          <w:bCs/>
          <w:color w:val="auto"/>
          <w:sz w:val="24"/>
          <w:szCs w:val="24"/>
          <w:highlight w:val="none"/>
        </w:rPr>
        <w:t xml:space="preserve">26.3 投标截止时间结束后参加投标的供应商不足三家的处理：</w:t>
      </w:r>
      <w:bookmarkEnd w:id="229"/>
      <w:r/>
      <w:r/>
    </w:p>
    <w:p>
      <w:pPr>
        <w:pStyle w:val="661"/>
        <w:ind w:left="0" w:firstLine="482"/>
        <w:jc w:val="both"/>
        <w:pageBreakBefore w:val="0"/>
        <w:spacing w:beforeAutospacing="0" w:afterAutospacing="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color w:val="000000"/>
          <w:sz w:val="24"/>
          <w:szCs w:val="24"/>
          <w:highlight w:val="none"/>
        </w:rPr>
        <w:t xml:space="preserve">26.3.1如出现投标截止时间结束后参加投标的供应商或者在评标期间对</w:t>
      </w:r>
      <w:r>
        <w:rPr>
          <w:rFonts w:hint="eastAsia" w:ascii="仿宋" w:hAnsi="仿宋" w:eastAsia="仿宋" w:cs="仿宋"/>
          <w:b/>
          <w:bCs/>
          <w:color w:val="000000"/>
          <w:sz w:val="24"/>
          <w:szCs w:val="24"/>
          <w:highlight w:val="none"/>
          <w:lang w:eastAsia="zh-CN"/>
        </w:rPr>
        <w:t xml:space="preserve">采购文件</w:t>
      </w:r>
      <w:r>
        <w:rPr>
          <w:rFonts w:hint="eastAsia" w:ascii="仿宋" w:hAnsi="仿宋" w:eastAsia="仿宋" w:cs="仿宋"/>
          <w:b/>
          <w:bCs/>
          <w:color w:val="000000"/>
          <w:sz w:val="24"/>
          <w:szCs w:val="24"/>
          <w:highlight w:val="none"/>
        </w:rPr>
        <w:t xml:space="preserve">做出实质响应的供应商不足三家情况，按政府采购相关规定执行。</w:t>
      </w:r>
      <w:r/>
    </w:p>
    <w:p>
      <w:pPr>
        <w:pStyle w:val="661"/>
        <w:ind w:left="0" w:firstLine="482"/>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0"/>
      </w:pPr>
      <w:r/>
      <w:bookmarkStart w:id="230" w:name="_Toc10830"/>
      <w:r/>
      <w:bookmarkStart w:id="231" w:name="_Toc28571"/>
      <w:r/>
      <w:bookmarkStart w:id="232" w:name="_Toc120614219"/>
      <w:r>
        <w:rPr>
          <w:rFonts w:hint="eastAsia" w:ascii="仿宋" w:hAnsi="仿宋" w:eastAsia="仿宋" w:cs="仿宋"/>
          <w:b/>
          <w:color w:val="000000"/>
          <w:sz w:val="24"/>
          <w:szCs w:val="24"/>
          <w:highlight w:val="none"/>
        </w:rPr>
        <w:t xml:space="preserve">六、定标</w:t>
      </w:r>
      <w:bookmarkEnd w:id="230"/>
      <w:r/>
      <w:bookmarkEnd w:id="231"/>
      <w:r/>
      <w:bookmarkEnd w:id="232"/>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233" w:name="_Toc20823310"/>
      <w:r/>
      <w:bookmarkStart w:id="234" w:name="_Toc513029238"/>
      <w:r/>
      <w:bookmarkStart w:id="235" w:name="_Toc16938554"/>
      <w:r/>
      <w:bookmarkStart w:id="236" w:name="_Toc23733"/>
      <w:r>
        <w:rPr>
          <w:rFonts w:hint="eastAsia" w:ascii="仿宋" w:hAnsi="仿宋" w:eastAsia="仿宋" w:cs="仿宋"/>
          <w:color w:val="000000"/>
          <w:sz w:val="24"/>
          <w:szCs w:val="24"/>
          <w:highlight w:val="none"/>
        </w:rPr>
        <w:t xml:space="preserve">27、</w:t>
      </w:r>
      <w:bookmarkEnd w:id="233"/>
      <w:r>
        <w:rPr>
          <w:rFonts w:hint="eastAsia" w:ascii="仿宋" w:hAnsi="仿宋" w:eastAsia="仿宋" w:cs="仿宋"/>
          <w:color w:val="000000"/>
          <w:sz w:val="24"/>
          <w:szCs w:val="24"/>
          <w:highlight w:val="none"/>
        </w:rPr>
        <w:t xml:space="preserve">确定</w:t>
      </w:r>
      <w:bookmarkEnd w:id="234"/>
      <w:r/>
      <w:bookmarkEnd w:id="235"/>
      <w:r>
        <w:rPr>
          <w:rFonts w:hint="eastAsia" w:ascii="仿宋" w:hAnsi="仿宋" w:eastAsia="仿宋" w:cs="仿宋"/>
          <w:color w:val="000000"/>
          <w:sz w:val="24"/>
          <w:szCs w:val="24"/>
          <w:highlight w:val="none"/>
        </w:rPr>
        <w:t xml:space="preserve">中标单位</w:t>
      </w:r>
      <w:bookmarkEnd w:id="236"/>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27.1中标候选人的选取原则和数量见</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第五章规定。 </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27.2采购人应根据评委会推荐的中标候选人确定中标人。</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27.3采购人和采购代理机构将在</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中国政府采购网”“</w:t>
      </w:r>
      <w:r>
        <w:rPr>
          <w:rFonts w:hint="eastAsia" w:ascii="仿宋" w:hAnsi="仿宋" w:eastAsia="仿宋" w:cs="仿宋"/>
          <w:color w:val="000000"/>
          <w:sz w:val="24"/>
          <w:szCs w:val="24"/>
          <w:highlight w:val="none"/>
        </w:rPr>
        <w:t xml:space="preserve">江苏政府采购网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盐城市政府采购网”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滨海县人民政府网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发布中标公告，公告期限为1个工作日。</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27.4若有充分证据证明，中标人出现下列情况之一的，一经查实，将被取消中标资格：</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27.4.1提供虚假材料谋取中标的。</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27.4.2向采购人、</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行贿或者提供其他不正当利益的。</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27.4.3属于本文件规定的无效条件，但在评标过程中又未被评委会发现的。</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27.4.4与采购人或者其他供应商恶意串通的。</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27.4.5采取不正当手段诋毁、排挤其他供应商的。</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bookmarkStart w:id="237" w:name="_Toc200451960"/>
      <w:r>
        <w:rPr>
          <w:rFonts w:hint="eastAsia" w:ascii="仿宋" w:hAnsi="仿宋" w:eastAsia="仿宋" w:cs="仿宋"/>
          <w:color w:val="000000"/>
          <w:sz w:val="24"/>
          <w:szCs w:val="24"/>
          <w:highlight w:val="none"/>
        </w:rPr>
        <w:t xml:space="preserve">27.5 有下列情形之一的，视为</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串通投标，投标无效：</w:t>
      </w:r>
      <w:bookmarkEnd w:id="237"/>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27.5.1不同</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的投标文件由同一单位或者个人编制。</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27.5.2不同</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委托同一单位或者个人办理投标事宜。</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27.5.3不同</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的投标文件载明的项目管理成员或者联系人员为同一人。</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27.5.4不同</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的投标文件异常一致或者投标报价呈规律性差异。</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238" w:name="_Toc14373"/>
      <w:r>
        <w:rPr>
          <w:rFonts w:hint="eastAsia" w:ascii="仿宋" w:hAnsi="仿宋" w:eastAsia="仿宋" w:cs="仿宋"/>
          <w:color w:val="000000"/>
          <w:sz w:val="24"/>
          <w:szCs w:val="24"/>
          <w:highlight w:val="none"/>
        </w:rPr>
        <w:t xml:space="preserve">28、质疑处理</w:t>
      </w:r>
      <w:bookmarkEnd w:id="238"/>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color w:val="000000"/>
          <w:sz w:val="24"/>
          <w:szCs w:val="24"/>
          <w:highlight w:val="none"/>
          <w:lang w:val="en-US" w:eastAsia="zh-CN"/>
        </w:rPr>
        <w:t xml:space="preserve">采购代理机构</w:t>
      </w:r>
      <w:r>
        <w:rPr>
          <w:rFonts w:hint="eastAsia" w:ascii="仿宋" w:hAnsi="仿宋" w:eastAsia="仿宋" w:cs="仿宋"/>
          <w:color w:val="000000"/>
          <w:sz w:val="24"/>
          <w:szCs w:val="24"/>
          <w:highlight w:val="none"/>
        </w:rPr>
        <w:t xml:space="preserve">或采购人提出质疑。上述应知其权益受到损害之日，是指：</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28.2.1对可以质疑的采购文件提出质疑的，为收到采购文件之日或者采购文件公告期限届满之日；</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28.2.2对采购过程提出质疑的，为各采购程序环节结束之日；</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28.2.3对中标或者成交结果提出质疑的，为中标或者成交结果公告期限届满之日。</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rPr>
        <w:t xml:space="preserve">、采购人将只对供应商第一次质疑作出答复。</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28.3质疑函必须按照本</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中《质疑函范本》要求的格式和内容进行填写。供应商如组成联合体参加投标，则《质疑函范本》中要求签字、盖章、加盖公章之处，联合体各方均须按要求签字、盖章、加盖公章。</w:t>
      </w:r>
      <w:r/>
    </w:p>
    <w:p>
      <w:pPr>
        <w:ind w:left="0" w:firstLine="480"/>
        <w:jc w:val="left"/>
        <w:pageBreakBefore w:val="0"/>
        <w:spacing w:line="520" w:lineRule="exact"/>
        <w:widowControl w:val="off"/>
        <w:tabs>
          <w:tab w:val="left" w:pos="1331"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仿宋" w:hAnsi="仿宋" w:eastAsia="仿宋" w:cs="仿宋"/>
          <w:color w:val="000000"/>
          <w:sz w:val="24"/>
          <w:szCs w:val="24"/>
          <w:highlight w:val="none"/>
        </w:rPr>
        <w:t xml:space="preserve">供应商对除上述事项以外其他事项的询问、质疑请向采购人或采购代理机构提出，由采购人或采购代理机构负责答复。</w:t>
      </w:r>
      <w:r/>
    </w:p>
    <w:p>
      <w:pPr>
        <w:ind w:left="0" w:firstLine="480"/>
        <w:jc w:val="left"/>
        <w:pageBreakBefore w:val="0"/>
        <w:spacing w:line="520" w:lineRule="exact"/>
        <w:widowControl w:val="off"/>
        <w:tabs>
          <w:tab w:val="left" w:pos="1331" w:leader="none"/>
        </w:tabs>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采购人或采购代理机构</w:t>
      </w:r>
      <w:r>
        <w:rPr>
          <w:rFonts w:hint="eastAsia" w:ascii="仿宋" w:hAnsi="仿宋" w:eastAsia="仿宋" w:cs="仿宋"/>
          <w:color w:val="000000"/>
          <w:sz w:val="24"/>
          <w:szCs w:val="24"/>
          <w:highlight w:val="none"/>
          <w:lang w:val="en-US" w:eastAsia="zh-CN" w:bidi="ar-SA"/>
        </w:rPr>
        <w:t xml:space="preserve">只接收以纸质原件形式送达的质疑,</w:t>
      </w:r>
      <w:r>
        <w:rPr>
          <w:rFonts w:hint="eastAsia" w:ascii="仿宋" w:hAnsi="仿宋" w:eastAsia="仿宋" w:cs="仿宋"/>
          <w:color w:val="000000"/>
          <w:sz w:val="24"/>
          <w:szCs w:val="24"/>
          <w:highlight w:val="none"/>
        </w:rPr>
        <w:t xml:space="preserve">采购人或采购代理机构</w:t>
      </w:r>
      <w:r>
        <w:rPr>
          <w:rFonts w:hint="eastAsia" w:ascii="仿宋" w:hAnsi="仿宋" w:eastAsia="仿宋" w:cs="仿宋"/>
          <w:color w:val="000000"/>
          <w:sz w:val="24"/>
          <w:szCs w:val="24"/>
          <w:highlight w:val="none"/>
          <w:lang w:val="en-US" w:eastAsia="zh-CN" w:bidi="ar-SA"/>
        </w:rPr>
        <w:t xml:space="preserve">不接受未填写快递运单的快件。质疑接收地址及联系电话同招标公告中的联系地址及联系电话。</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28.5 以下情形的质疑不予受理</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28.5.1内容不符合《政府采购质疑和投诉办法》第十二条规定的质疑。</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28.5.2超出政府采购法定期限的质疑。</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28.5.3以传真、电子邮件等方式递交的非原件形式的质疑。</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28.5.4未参加投标活动的供应商或在投标活动中自身权益未受到损害的供应商所提出的质疑。</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28.5.5供应商组成联合体参加投标，联合体中任何一方或多方未按要求签字、盖章、加盖公章的质疑。</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28.6供应商提出书面质疑必须有理、有据，不得捏造事实、提供虚假材料进行恶意质疑。否则，一经查实，采购</w:t>
      </w:r>
      <w:r>
        <w:rPr>
          <w:rFonts w:hint="eastAsia" w:ascii="仿宋" w:hAnsi="仿宋" w:eastAsia="仿宋" w:cs="仿宋"/>
          <w:color w:val="000000"/>
          <w:sz w:val="24"/>
          <w:szCs w:val="24"/>
          <w:highlight w:val="none"/>
          <w:lang w:eastAsia="zh-CN"/>
        </w:rPr>
        <w:t xml:space="preserve">人</w:t>
      </w:r>
      <w:r>
        <w:rPr>
          <w:rFonts w:hint="eastAsia" w:ascii="仿宋" w:hAnsi="仿宋" w:eastAsia="仿宋" w:cs="仿宋"/>
          <w:color w:val="000000"/>
          <w:sz w:val="24"/>
          <w:szCs w:val="24"/>
          <w:highlight w:val="none"/>
        </w:rPr>
        <w:t xml:space="preserve">有权依据政府采购的有关规定，报请政府采购监管部门对该供应商进行相应的行政处罚和记录该供应商的失信信息。</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239" w:name="_Toc8336"/>
      <w:r>
        <w:rPr>
          <w:rFonts w:hint="eastAsia" w:ascii="仿宋" w:hAnsi="仿宋" w:eastAsia="仿宋" w:cs="仿宋"/>
          <w:color w:val="000000"/>
          <w:sz w:val="24"/>
          <w:szCs w:val="24"/>
          <w:highlight w:val="none"/>
        </w:rPr>
        <w:t xml:space="preserve">29、中标通知书</w:t>
      </w:r>
      <w:bookmarkEnd w:id="239"/>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 xml:space="preserve">29.l中标结果确定后，采购人和采购代理机构将向中标人发</w:t>
      </w:r>
      <w:r>
        <w:rPr>
          <w:rFonts w:hint="eastAsia" w:ascii="仿宋" w:hAnsi="仿宋" w:eastAsia="仿宋" w:cs="仿宋"/>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29.2中标通知书将是合同的一个组成部分。对采购人和中标人均具有法律</w:t>
      </w:r>
      <w:r>
        <w:rPr>
          <w:rFonts w:hint="eastAsia" w:ascii="仿宋" w:hAnsi="仿宋" w:eastAsia="仿宋" w:cs="仿宋"/>
          <w:color w:val="000000"/>
          <w:sz w:val="24"/>
          <w:szCs w:val="24"/>
          <w:highlight w:val="none"/>
        </w:rPr>
        <w:t xml:space="preserve">效力。中标通知书发出后，采购人改变中标结果的，或者中标人放弃中标项目的，应当依法承担法律责任。</w:t>
      </w:r>
      <w:r/>
    </w:p>
    <w:p>
      <w:pPr>
        <w:pStyle w:val="661"/>
        <w:ind w:left="0" w:firstLine="482"/>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0"/>
      </w:pPr>
      <w:r/>
      <w:bookmarkStart w:id="240" w:name="_Toc20823308"/>
      <w:r/>
      <w:bookmarkStart w:id="241" w:name="_Toc22096"/>
      <w:r/>
      <w:bookmarkStart w:id="242" w:name="_Toc513029236"/>
      <w:r/>
      <w:bookmarkStart w:id="243" w:name="_Toc3660"/>
      <w:r/>
      <w:bookmarkStart w:id="244" w:name="_Toc120614220"/>
      <w:r/>
      <w:bookmarkStart w:id="245" w:name="_Toc16938552"/>
      <w:r>
        <w:rPr>
          <w:rFonts w:hint="eastAsia" w:ascii="仿宋" w:hAnsi="仿宋" w:eastAsia="仿宋" w:cs="仿宋"/>
          <w:b/>
          <w:color w:val="000000"/>
          <w:sz w:val="24"/>
          <w:szCs w:val="24"/>
          <w:highlight w:val="none"/>
        </w:rPr>
        <w:t xml:space="preserve">七、授予合同</w:t>
      </w:r>
      <w:bookmarkEnd w:id="240"/>
      <w:r/>
      <w:bookmarkEnd w:id="241"/>
      <w:r/>
      <w:bookmarkEnd w:id="242"/>
      <w:r/>
      <w:bookmarkEnd w:id="243"/>
      <w:r/>
      <w:bookmarkEnd w:id="244"/>
      <w:r/>
      <w:bookmarkEnd w:id="245"/>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246" w:name="_Toc20823309"/>
      <w:r/>
      <w:bookmarkStart w:id="247" w:name="_Toc513029237"/>
      <w:r/>
      <w:bookmarkStart w:id="248" w:name="_Toc16938553"/>
      <w:r/>
      <w:bookmarkStart w:id="249" w:name="_Toc19091"/>
      <w:r>
        <w:rPr>
          <w:rFonts w:hint="eastAsia" w:ascii="仿宋" w:hAnsi="仿宋" w:eastAsia="仿宋" w:cs="仿宋"/>
          <w:color w:val="000000"/>
          <w:sz w:val="24"/>
          <w:szCs w:val="24"/>
          <w:highlight w:val="none"/>
        </w:rPr>
        <w:t xml:space="preserve">30.签订合同</w:t>
      </w:r>
      <w:bookmarkEnd w:id="246"/>
      <w:r/>
      <w:bookmarkEnd w:id="247"/>
      <w:r/>
      <w:bookmarkEnd w:id="248"/>
      <w:r/>
      <w:bookmarkEnd w:id="249"/>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outlineLvl w:val="2"/>
      </w:pPr>
      <w:r/>
      <w:bookmarkStart w:id="250" w:name="_Toc22009"/>
      <w:r>
        <w:rPr>
          <w:rFonts w:hint="eastAsia" w:ascii="仿宋" w:hAnsi="仿宋" w:eastAsia="仿宋" w:cs="仿宋"/>
          <w:color w:val="000000"/>
          <w:sz w:val="24"/>
          <w:szCs w:val="24"/>
          <w:highlight w:val="none"/>
        </w:rPr>
        <w:t xml:space="preserve">30.l中标人应当在中标通知书发出之日起三十日内，按照</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确定的事项与采购人签订政府采购合同。</w:t>
      </w:r>
      <w:bookmarkEnd w:id="250"/>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30.2</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、中标人的投标文件及招标过程中有关澄清、承诺文件均应作为合同附件。</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30.3签订合同后，</w:t>
      </w:r>
      <w:r>
        <w:rPr>
          <w:rFonts w:hint="eastAsia" w:ascii="仿宋" w:hAnsi="仿宋" w:eastAsia="仿宋" w:cs="仿宋"/>
          <w:b/>
          <w:bCs/>
          <w:i/>
          <w:color w:val="000000"/>
          <w:sz w:val="24"/>
          <w:szCs w:val="24"/>
          <w:highlight w:val="none"/>
          <w:u w:val="single"/>
        </w:rPr>
        <w:t xml:space="preserve">中标人不得将合同标的进行转包</w:t>
      </w:r>
      <w:r>
        <w:rPr>
          <w:rFonts w:hint="eastAsia" w:ascii="仿宋" w:hAnsi="仿宋" w:eastAsia="仿宋" w:cs="仿宋"/>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sz w:val="24"/>
          <w:szCs w:val="24"/>
          <w:highlight w:val="none"/>
        </w:rPr>
        <w:outlineLvl w:val="1"/>
      </w:pPr>
      <w:r/>
      <w:bookmarkStart w:id="251" w:name="_Toc16647"/>
      <w:r>
        <w:rPr>
          <w:rFonts w:hint="eastAsia" w:ascii="仿宋" w:hAnsi="仿宋" w:eastAsia="仿宋" w:cs="仿宋"/>
          <w:color w:val="000000"/>
          <w:sz w:val="24"/>
          <w:szCs w:val="24"/>
          <w:highlight w:val="none"/>
        </w:rPr>
        <w:t xml:space="preserve">31、服务（包含与服务相关的货物）的追加</w:t>
      </w:r>
      <w:bookmarkEnd w:id="251"/>
      <w:r/>
      <w:r/>
    </w:p>
    <w:p>
      <w:pPr>
        <w:pStyle w:val="661"/>
        <w:ind w:left="0" w:firstLine="480"/>
        <w:jc w:val="both"/>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outlineLvl w:val="1"/>
      </w:pPr>
      <w:r/>
      <w:bookmarkStart w:id="252" w:name="_Toc11853"/>
      <w:r>
        <w:rPr>
          <w:rFonts w:hint="eastAsia" w:ascii="仿宋" w:hAnsi="仿宋" w:eastAsia="仿宋" w:cs="仿宋"/>
          <w:color w:val="000000"/>
          <w:sz w:val="24"/>
          <w:szCs w:val="24"/>
          <w:highlight w:val="none"/>
          <w:lang w:val="en-US" w:eastAsia="zh-CN"/>
        </w:rPr>
        <w:t xml:space="preserve">32.政府采购政策功能落实</w:t>
      </w:r>
      <w:bookmarkEnd w:id="252"/>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color w:val="000000"/>
          <w:sz w:val="24"/>
          <w:szCs w:val="24"/>
          <w:highlight w:val="none"/>
        </w:rPr>
        <w:outlineLvl w:val="2"/>
      </w:pPr>
      <w:r/>
      <w:bookmarkStart w:id="253" w:name="_Toc6298"/>
      <w:r>
        <w:rPr>
          <w:rFonts w:hint="eastAsia" w:ascii="仿宋" w:hAnsi="仿宋" w:eastAsia="仿宋" w:cs="仿宋"/>
          <w:color w:val="000000"/>
          <w:sz w:val="24"/>
          <w:szCs w:val="24"/>
          <w:highlight w:val="none"/>
          <w:lang w:val="en-US" w:eastAsia="zh-CN"/>
        </w:rPr>
        <w:t xml:space="preserve">32.1</w:t>
      </w:r>
      <w:r>
        <w:rPr>
          <w:rFonts w:hint="eastAsia" w:ascii="仿宋" w:hAnsi="仿宋" w:eastAsia="仿宋" w:cs="仿宋"/>
          <w:color w:val="000000"/>
          <w:sz w:val="24"/>
          <w:szCs w:val="24"/>
          <w:highlight w:val="none"/>
        </w:rPr>
        <w:t xml:space="preserve">政府采购</w:t>
      </w:r>
      <w:r>
        <w:rPr>
          <w:rFonts w:hint="eastAsia" w:ascii="仿宋" w:hAnsi="仿宋" w:eastAsia="仿宋" w:cs="仿宋"/>
          <w:color w:val="000000"/>
          <w:sz w:val="24"/>
          <w:szCs w:val="24"/>
          <w:highlight w:val="none"/>
          <w:lang w:eastAsia="zh-CN"/>
        </w:rPr>
        <w:t xml:space="preserve">线上合同信用融资</w:t>
      </w:r>
      <w:r>
        <w:rPr>
          <w:rFonts w:hint="eastAsia" w:ascii="仿宋" w:hAnsi="仿宋" w:eastAsia="仿宋" w:cs="仿宋"/>
          <w:color w:val="000000"/>
          <w:sz w:val="24"/>
          <w:szCs w:val="24"/>
          <w:highlight w:val="none"/>
        </w:rPr>
        <w:t xml:space="preserve">政策</w:t>
      </w:r>
      <w:bookmarkEnd w:id="253"/>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000000"/>
          <w:sz w:val="24"/>
          <w:szCs w:val="24"/>
          <w:highlight w:val="none"/>
          <w:lang w:val="en-US" w:eastAsia="zh-CN"/>
        </w:rPr>
        <w:t xml:space="preserve">江苏省</w:t>
      </w:r>
      <w:r>
        <w:rPr>
          <w:rFonts w:hint="eastAsia" w:ascii="仿宋" w:hAnsi="仿宋" w:eastAsia="仿宋" w:cs="仿宋"/>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520" w:lineRule="exact"/>
        <w:widowControl w:val="off"/>
        <w:tabs>
          <w:tab w:val="left" w:pos="1381" w:leader="none"/>
        </w:tabs>
        <w:rPr>
          <w:rFonts w:hint="eastAsia" w:ascii="仿宋" w:hAnsi="仿宋" w:eastAsia="仿宋" w:cs="仿宋"/>
          <w:color w:val="000000"/>
          <w:sz w:val="24"/>
          <w:szCs w:val="24"/>
          <w:highlight w:val="none"/>
          <w:lang w:val="en-US" w:eastAsia="zh-CN" w:bidi="ar-SA"/>
        </w:rPr>
        <w:outlineLvl w:val="2"/>
      </w:pPr>
      <w:r/>
      <w:bookmarkStart w:id="254" w:name="_Toc19208"/>
      <w:r>
        <w:rPr>
          <w:rFonts w:hint="eastAsia" w:ascii="仿宋" w:hAnsi="仿宋" w:eastAsia="仿宋" w:cs="仿宋"/>
          <w:color w:val="000000"/>
          <w:sz w:val="24"/>
          <w:szCs w:val="24"/>
          <w:highlight w:val="none"/>
          <w:lang w:val="en-US" w:eastAsia="zh-CN" w:bidi="ar-SA"/>
        </w:rPr>
        <w:t xml:space="preserve">32.2进口产品</w:t>
      </w:r>
      <w:bookmarkEnd w:id="254"/>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进口产品</w:t>
      </w:r>
      <w:r>
        <w:rPr>
          <w:rFonts w:hint="eastAsia" w:ascii="仿宋" w:hAnsi="仿宋" w:eastAsia="仿宋" w:cs="仿宋"/>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520" w:lineRule="exact"/>
        <w:widowControl w:val="off"/>
        <w:tabs>
          <w:tab w:val="left" w:pos="1381" w:leader="none"/>
        </w:tabs>
        <w:rPr>
          <w:rFonts w:hint="eastAsia" w:ascii="仿宋" w:hAnsi="仿宋" w:eastAsia="仿宋" w:cs="仿宋"/>
          <w:color w:val="000000"/>
          <w:sz w:val="24"/>
          <w:szCs w:val="24"/>
          <w:highlight w:val="none"/>
          <w:lang w:val="en-US" w:eastAsia="zh-CN" w:bidi="ar-SA"/>
        </w:rPr>
        <w:outlineLvl w:val="2"/>
      </w:pPr>
      <w:r/>
      <w:bookmarkStart w:id="255" w:name="_Toc2220"/>
      <w:r>
        <w:rPr>
          <w:rFonts w:hint="eastAsia" w:ascii="仿宋" w:hAnsi="仿宋" w:eastAsia="仿宋" w:cs="仿宋"/>
          <w:color w:val="000000"/>
          <w:sz w:val="24"/>
          <w:szCs w:val="24"/>
          <w:highlight w:val="none"/>
          <w:lang w:val="en-US" w:eastAsia="zh-CN" w:bidi="ar-SA"/>
        </w:rPr>
        <w:t xml:space="preserve">32.3中小企业、监狱企业及残疾人福利性单位</w:t>
      </w:r>
      <w:bookmarkEnd w:id="255"/>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32.3.1中小企业定义：</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中小企业是</w:t>
      </w:r>
      <w:r>
        <w:rPr>
          <w:rFonts w:hint="eastAsia" w:ascii="仿宋" w:hAnsi="仿宋" w:eastAsia="仿宋" w:cs="仿宋"/>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32.3.2供应商提供的货物、工程或者服务符合下列情形的，享受中小企业扶持政策：</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32.3.2.2在工程采购项目中，工程由中小企业承建，即工程施工单位为中小企业；</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32.3.6残疾人福利单位定义：享受政府采购支持政策的残疾人福利性单位应当同时满足以下条件：</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32.3.6.2依法与安置的每位残疾人签订了一年以上（含一年）的劳动合同或服务协议；</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32.3.7本项目是否专门面向中小企业预留采购份额见第一章《</w:t>
      </w:r>
      <w:r>
        <w:rPr>
          <w:rFonts w:hint="eastAsia" w:ascii="仿宋" w:hAnsi="仿宋" w:eastAsia="仿宋" w:cs="仿宋"/>
          <w:color w:val="auto"/>
          <w:sz w:val="24"/>
          <w:szCs w:val="24"/>
          <w:highlight w:val="none"/>
          <w:lang w:val="en-US" w:eastAsia="zh-CN"/>
        </w:rPr>
        <w:t xml:space="preserve">招标公告</w:t>
      </w:r>
      <w:r>
        <w:rPr>
          <w:rFonts w:hint="eastAsia" w:ascii="仿宋" w:hAnsi="仿宋" w:eastAsia="仿宋" w:cs="仿宋"/>
          <w:color w:val="000000"/>
          <w:sz w:val="24"/>
          <w:szCs w:val="24"/>
          <w:highlight w:val="none"/>
          <w:lang w:val="en-US" w:eastAsia="zh-CN"/>
        </w:rPr>
        <w:t xml:space="preserve">》。</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32.3.8采购标的对应的中小企业划分标准所属行业见第四章《采购需求》。</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32.3.9小微企业价格评审优惠的政策：见第五章《评标方法和评标标准》。</w:t>
      </w:r>
      <w:r/>
    </w:p>
    <w:p>
      <w:pPr>
        <w:pStyle w:val="661"/>
        <w:ind w:left="0" w:firstLine="480"/>
        <w:jc w:val="both"/>
        <w:keepLines/>
        <w:keepNext/>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outlineLvl w:val="2"/>
      </w:pPr>
      <w:r/>
      <w:bookmarkStart w:id="256" w:name="_Toc5666"/>
      <w:r>
        <w:rPr>
          <w:rFonts w:hint="eastAsia" w:ascii="仿宋" w:hAnsi="仿宋" w:eastAsia="仿宋" w:cs="仿宋"/>
          <w:color w:val="000000"/>
          <w:sz w:val="24"/>
          <w:szCs w:val="24"/>
          <w:highlight w:val="none"/>
          <w:lang w:val="en-US" w:eastAsia="zh-CN"/>
        </w:rPr>
        <w:t xml:space="preserve">32.4政府采购节能产品、环境标志产品</w:t>
      </w:r>
      <w:bookmarkEnd w:id="256"/>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32.4.1严格执行政府采购关于支持</w:t>
      </w:r>
      <w:r>
        <w:rPr>
          <w:rFonts w:hint="eastAsia" w:ascii="仿宋" w:hAnsi="仿宋" w:eastAsia="仿宋" w:cs="仿宋"/>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outlineLvl w:val="2"/>
      </w:pPr>
      <w:r/>
      <w:bookmarkStart w:id="257" w:name="_Toc2830"/>
      <w:r>
        <w:rPr>
          <w:rFonts w:hint="eastAsia" w:ascii="仿宋" w:hAnsi="仿宋" w:eastAsia="仿宋" w:cs="仿宋"/>
          <w:color w:val="000000"/>
          <w:sz w:val="24"/>
          <w:szCs w:val="24"/>
          <w:highlight w:val="none"/>
          <w:lang w:val="en-US" w:eastAsia="zh-CN"/>
        </w:rPr>
        <w:t xml:space="preserve">32.5绿色包装</w:t>
      </w:r>
      <w:bookmarkEnd w:id="257"/>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520" w:lineRule="exact"/>
        <w:widowControl w:val="off"/>
        <w:tabs>
          <w:tab w:val="left" w:pos="1381" w:leader="none"/>
        </w:tabs>
        <w:rPr>
          <w:rFonts w:hint="eastAsia" w:ascii="仿宋" w:hAnsi="仿宋" w:eastAsia="仿宋" w:cs="仿宋"/>
          <w:color w:val="000000"/>
          <w:sz w:val="24"/>
          <w:szCs w:val="24"/>
          <w:highlight w:val="none"/>
          <w:lang w:val="en-US" w:eastAsia="zh-CN" w:bidi="ar-SA"/>
        </w:rPr>
        <w:outlineLvl w:val="2"/>
      </w:pPr>
      <w:r/>
      <w:bookmarkStart w:id="258" w:name="_Toc17173"/>
      <w:r>
        <w:rPr>
          <w:rFonts w:hint="eastAsia" w:ascii="仿宋" w:hAnsi="仿宋" w:eastAsia="仿宋" w:cs="仿宋"/>
          <w:color w:val="000000"/>
          <w:sz w:val="24"/>
          <w:szCs w:val="24"/>
          <w:highlight w:val="none"/>
          <w:lang w:val="en-US" w:eastAsia="zh-CN" w:bidi="ar-SA"/>
        </w:rPr>
        <w:t xml:space="preserve">32.6政府采购创新产品</w:t>
      </w:r>
      <w:bookmarkEnd w:id="258"/>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left="0" w:firstLine="480"/>
        <w:pageBreakBefore w:val="0"/>
        <w:spacing w:line="520" w:lineRule="exact"/>
        <w:widowControl w:val="off"/>
        <w:tabs>
          <w:tab w:val="left" w:pos="1381" w:leader="none"/>
        </w:tabs>
        <w:rPr>
          <w:rFonts w:hint="eastAsia" w:ascii="仿宋" w:hAnsi="仿宋" w:eastAsia="仿宋" w:cs="仿宋"/>
          <w:color w:val="000000"/>
          <w:sz w:val="24"/>
          <w:szCs w:val="24"/>
          <w:highlight w:val="none"/>
          <w:lang w:val="en-US" w:eastAsia="zh-CN" w:bidi="ar-SA"/>
        </w:rPr>
        <w:outlineLvl w:val="2"/>
      </w:pPr>
      <w:r/>
      <w:bookmarkStart w:id="259" w:name="_Toc19083"/>
      <w:r>
        <w:rPr>
          <w:rFonts w:hint="eastAsia" w:ascii="仿宋" w:hAnsi="仿宋" w:eastAsia="仿宋" w:cs="仿宋"/>
          <w:color w:val="000000"/>
          <w:sz w:val="24"/>
          <w:szCs w:val="24"/>
          <w:highlight w:val="none"/>
          <w:lang w:val="en-US" w:eastAsia="zh-CN" w:bidi="ar-SA"/>
        </w:rPr>
        <w:t xml:space="preserve">32.7绿色数据中心政策</w:t>
      </w:r>
      <w:bookmarkEnd w:id="259"/>
      <w:r>
        <w:rPr>
          <w:rFonts w:hint="eastAsia" w:ascii="仿宋" w:hAnsi="仿宋" w:eastAsia="仿宋" w:cs="仿宋"/>
          <w:color w:val="000000"/>
          <w:sz w:val="24"/>
          <w:szCs w:val="24"/>
          <w:highlight w:val="none"/>
          <w:lang w:val="en-US" w:eastAsia="zh-CN" w:bidi="ar-SA"/>
        </w:rPr>
        <w:t xml:space="preserve"> </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仿宋" w:hAnsi="仿宋" w:eastAsia="仿宋" w:cs="仿宋"/>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20" w:lineRule="exact"/>
        <w:widowControl w:val="off"/>
        <w:tabs>
          <w:tab w:val="left" w:pos="1381" w:leader="none"/>
        </w:tabs>
        <w:rPr>
          <w:rFonts w:hint="eastAsia" w:ascii="仿宋" w:hAnsi="仿宋" w:eastAsia="仿宋" w:cs="仿宋"/>
          <w:color w:val="000000"/>
          <w:sz w:val="24"/>
          <w:szCs w:val="24"/>
          <w:highlight w:val="none"/>
          <w:lang w:val="en-US" w:eastAsia="zh-CN" w:bidi="ar-SA"/>
        </w:rPr>
        <w:outlineLvl w:val="2"/>
      </w:pPr>
      <w:r/>
      <w:bookmarkStart w:id="260" w:name="_Toc2486"/>
      <w:r>
        <w:rPr>
          <w:rFonts w:hint="eastAsia" w:ascii="仿宋" w:hAnsi="仿宋" w:eastAsia="仿宋" w:cs="仿宋"/>
          <w:color w:val="000000"/>
          <w:sz w:val="24"/>
          <w:szCs w:val="24"/>
          <w:highlight w:val="none"/>
          <w:lang w:val="en-US" w:eastAsia="zh-CN" w:bidi="ar-SA"/>
        </w:rPr>
        <w:t xml:space="preserve">32.8履约保证金政策</w:t>
      </w:r>
      <w:bookmarkEnd w:id="260"/>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确需收取履约保证金的，履约保证金的缴纳形式：</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61"/>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61"/>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outlineLvl w:val="1"/>
      </w:pPr>
      <w:r/>
      <w:bookmarkStart w:id="261" w:name="_Toc24316"/>
      <w:r>
        <w:rPr>
          <w:rFonts w:hint="eastAsia" w:ascii="仿宋" w:hAnsi="仿宋" w:eastAsia="仿宋" w:cs="仿宋"/>
          <w:color w:val="000000"/>
          <w:sz w:val="24"/>
          <w:szCs w:val="24"/>
          <w:highlight w:val="none"/>
          <w:lang w:val="en-US" w:eastAsia="zh-CN"/>
        </w:rPr>
        <w:t xml:space="preserve">中标单位在签订合同前须向招标人缴纳中标总价的5%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招标人将降低履约保证金缴纳金额为中标价的2.5%。</w:t>
      </w:r>
      <w:bookmarkEnd w:id="261"/>
      <w:r/>
      <w:r/>
    </w:p>
    <w:p>
      <w:pPr>
        <w:pStyle w:val="661"/>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outlineLvl w:val="1"/>
      </w:pPr>
      <w:r/>
      <w:bookmarkStart w:id="262" w:name="_Toc11402"/>
      <w:r>
        <w:rPr>
          <w:rFonts w:hint="eastAsia" w:ascii="仿宋" w:hAnsi="仿宋" w:eastAsia="仿宋" w:cs="仿宋"/>
          <w:color w:val="000000"/>
          <w:sz w:val="24"/>
          <w:szCs w:val="24"/>
          <w:lang w:val="en-US" w:eastAsia="zh-CN" w:bidi="ar-SA"/>
        </w:rPr>
        <w:t xml:space="preserve">33.</w:t>
      </w:r>
      <w:r>
        <w:rPr>
          <w:rFonts w:hint="eastAsia" w:ascii="仿宋" w:hAnsi="仿宋" w:eastAsia="仿宋" w:cs="仿宋"/>
          <w:color w:val="000000"/>
          <w:sz w:val="24"/>
          <w:szCs w:val="24"/>
          <w:highlight w:val="none"/>
          <w:lang w:val="en-US" w:eastAsia="zh-CN"/>
        </w:rPr>
        <w:t xml:space="preserve">预付款制度</w:t>
      </w:r>
      <w:bookmarkEnd w:id="262"/>
      <w:r/>
      <w:r/>
    </w:p>
    <w:p>
      <w:pPr>
        <w:pStyle w:val="661"/>
        <w:numPr>
          <w:ilvl w:val="0"/>
          <w:numId w:val="0"/>
        </w:numPr>
        <w:ind w:left="0" w:firstLine="480"/>
        <w:jc w:val="both"/>
        <w:pageBreakBefore w:val="0"/>
        <w:spacing w:beforeAutospacing="0" w:afterAutospacing="0" w:line="52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ind w:right="0" w:firstLine="240"/>
        <w:pageBreakBefore w:val="0"/>
        <w:spacing w:line="520" w:lineRule="exact"/>
        <w:tabs>
          <w:tab w:val="left" w:pos="900" w:leader="none"/>
        </w:tabs>
        <w:rPr>
          <w:rFonts w:hint="eastAsia" w:ascii="仿宋" w:hAnsi="仿宋" w:eastAsia="仿宋" w:cs="仿宋"/>
          <w:sz w:val="24"/>
          <w:szCs w:val="21"/>
          <w:lang w:val="en-US" w:eastAsia="zh-CN"/>
        </w:rPr>
      </w:pPr>
      <w:r/>
      <w:bookmarkStart w:id="263" w:name="_Toc28979"/>
      <w:r/>
      <w:bookmarkStart w:id="264" w:name="_Toc16932_WPSOffice_Level2"/>
      <w:r/>
      <w:bookmarkStart w:id="265" w:name="_Toc30024"/>
      <w:r/>
      <w:bookmarkStart w:id="266" w:name="_Toc15723"/>
      <w:r>
        <w:rPr>
          <w:rFonts w:hint="eastAsia" w:ascii="仿宋" w:hAnsi="仿宋" w:eastAsia="仿宋" w:cs="仿宋"/>
          <w:sz w:val="24"/>
          <w:szCs w:val="21"/>
          <w:lang w:val="en-US" w:eastAsia="zh-CN"/>
        </w:rPr>
        <w:t xml:space="preserve">★</w:t>
      </w:r>
      <w:r>
        <w:rPr>
          <w:rFonts w:hint="eastAsia" w:ascii="仿宋" w:hAnsi="仿宋" w:eastAsia="仿宋" w:cs="仿宋"/>
          <w:sz w:val="24"/>
          <w:szCs w:val="21"/>
          <w:lang w:val="zh-CN"/>
        </w:rPr>
        <w:t xml:space="preserve">3</w:t>
      </w:r>
      <w:r>
        <w:rPr>
          <w:rFonts w:hint="eastAsia" w:ascii="仿宋" w:hAnsi="仿宋" w:eastAsia="仿宋" w:cs="仿宋"/>
          <w:sz w:val="24"/>
          <w:szCs w:val="21"/>
          <w:lang w:val="en-US" w:eastAsia="zh-CN"/>
        </w:rPr>
        <w:t xml:space="preserve">4</w:t>
      </w:r>
      <w:r>
        <w:rPr>
          <w:rFonts w:hint="eastAsia" w:ascii="仿宋" w:hAnsi="仿宋" w:eastAsia="仿宋" w:cs="仿宋"/>
          <w:sz w:val="24"/>
          <w:szCs w:val="21"/>
          <w:lang w:val="zh-CN"/>
        </w:rPr>
        <w:t xml:space="preserve">.</w:t>
      </w:r>
      <w:r>
        <w:rPr>
          <w:rFonts w:hint="eastAsia" w:ascii="仿宋" w:hAnsi="仿宋" w:eastAsia="仿宋" w:cs="仿宋"/>
          <w:sz w:val="24"/>
          <w:szCs w:val="21"/>
          <w:lang w:val="en-US" w:eastAsia="zh-CN"/>
        </w:rPr>
        <w:t xml:space="preserve">1</w:t>
      </w:r>
      <w:r>
        <w:rPr>
          <w:rFonts w:hint="eastAsia" w:ascii="仿宋" w:hAnsi="仿宋" w:eastAsia="仿宋" w:cs="仿宋"/>
          <w:sz w:val="24"/>
          <w:szCs w:val="21"/>
          <w:lang w:val="zh-CN" w:eastAsia="zh-CN"/>
        </w:rPr>
        <w:t xml:space="preserve">政府采购代理服务费（</w:t>
      </w:r>
      <w:r>
        <w:rPr>
          <w:rFonts w:hint="eastAsia" w:ascii="仿宋" w:hAnsi="仿宋" w:eastAsia="仿宋" w:cs="仿宋"/>
          <w:sz w:val="24"/>
          <w:szCs w:val="21"/>
          <w:lang w:val="en-US" w:eastAsia="zh-CN"/>
        </w:rPr>
        <w:t xml:space="preserve">招标代理服务费</w:t>
      </w:r>
      <w:r>
        <w:rPr>
          <w:rFonts w:hint="eastAsia" w:ascii="仿宋" w:hAnsi="仿宋" w:eastAsia="仿宋" w:cs="仿宋"/>
          <w:sz w:val="24"/>
          <w:szCs w:val="21"/>
          <w:lang w:val="zh-CN" w:eastAsia="zh-CN"/>
        </w:rPr>
        <w:t xml:space="preserve">）</w:t>
      </w:r>
      <w:r>
        <w:rPr>
          <w:rFonts w:hint="eastAsia" w:ascii="仿宋" w:hAnsi="仿宋" w:eastAsia="仿宋" w:cs="仿宋"/>
          <w:sz w:val="24"/>
          <w:szCs w:val="21"/>
          <w:lang w:val="en-US" w:eastAsia="zh-CN"/>
        </w:rPr>
        <w:t xml:space="preserve">有关约定如下：</w:t>
      </w:r>
      <w:r/>
    </w:p>
    <w:p>
      <w:pPr>
        <w:ind w:left="0" w:right="0" w:firstLine="480"/>
        <w:pageBreakBefore w:val="0"/>
        <w:spacing w:line="520" w:lineRule="exact"/>
        <w:tabs>
          <w:tab w:val="left" w:pos="900" w:leader="none"/>
        </w:tabs>
        <w:rPr>
          <w:rFonts w:hint="eastAsia" w:ascii="仿宋" w:hAnsi="仿宋" w:eastAsia="仿宋" w:cs="仿宋"/>
          <w:sz w:val="24"/>
          <w:szCs w:val="21"/>
          <w:lang w:val="zh-CN"/>
        </w:rPr>
      </w:pPr>
      <w:r>
        <w:rPr>
          <w:rFonts w:hint="eastAsia" w:ascii="仿宋" w:hAnsi="仿宋" w:eastAsia="仿宋" w:cs="仿宋"/>
          <w:sz w:val="24"/>
          <w:szCs w:val="21"/>
          <w:lang w:val="zh-CN"/>
        </w:rPr>
        <w:t xml:space="preserve">3</w:t>
      </w:r>
      <w:r>
        <w:rPr>
          <w:rFonts w:hint="eastAsia" w:ascii="仿宋" w:hAnsi="仿宋" w:eastAsia="仿宋" w:cs="仿宋"/>
          <w:sz w:val="24"/>
          <w:szCs w:val="21"/>
          <w:lang w:val="en-US" w:eastAsia="zh-CN"/>
        </w:rPr>
        <w:t xml:space="preserve">4</w:t>
      </w:r>
      <w:r>
        <w:rPr>
          <w:rFonts w:hint="eastAsia" w:ascii="仿宋" w:hAnsi="仿宋" w:eastAsia="仿宋" w:cs="仿宋"/>
          <w:sz w:val="24"/>
          <w:szCs w:val="21"/>
          <w:lang w:val="zh-CN"/>
        </w:rPr>
        <w:t xml:space="preserve">.</w:t>
      </w:r>
      <w:r>
        <w:rPr>
          <w:rFonts w:hint="eastAsia" w:ascii="仿宋" w:hAnsi="仿宋" w:eastAsia="仿宋" w:cs="仿宋"/>
          <w:sz w:val="24"/>
          <w:szCs w:val="21"/>
          <w:lang w:val="en-US" w:eastAsia="zh-CN"/>
        </w:rPr>
        <w:t xml:space="preserve">1</w:t>
      </w:r>
      <w:r>
        <w:rPr>
          <w:rFonts w:hint="eastAsia" w:ascii="仿宋" w:hAnsi="仿宋" w:eastAsia="仿宋" w:cs="仿宋"/>
          <w:sz w:val="24"/>
          <w:szCs w:val="21"/>
          <w:lang w:val="zh-CN"/>
        </w:rPr>
        <w:t xml:space="preserve">.1</w:t>
      </w:r>
      <w:r>
        <w:rPr>
          <w:rFonts w:hint="eastAsia" w:ascii="仿宋" w:hAnsi="仿宋" w:eastAsia="仿宋" w:cs="仿宋"/>
          <w:sz w:val="24"/>
          <w:szCs w:val="21"/>
          <w:lang w:val="en-US" w:eastAsia="zh-CN"/>
        </w:rPr>
        <w:t xml:space="preserve">本采购文件约定：</w:t>
      </w:r>
      <w:r>
        <w:rPr>
          <w:rFonts w:hint="eastAsia" w:ascii="仿宋" w:hAnsi="仿宋" w:eastAsia="仿宋" w:cs="仿宋"/>
          <w:sz w:val="24"/>
          <w:szCs w:val="21"/>
          <w:lang w:val="zh-CN" w:eastAsia="zh-CN"/>
        </w:rPr>
        <w:t xml:space="preserve">政府采购代理服务费（</w:t>
      </w:r>
      <w:r>
        <w:rPr>
          <w:rFonts w:hint="eastAsia" w:ascii="仿宋" w:hAnsi="仿宋" w:eastAsia="仿宋" w:cs="仿宋"/>
          <w:sz w:val="24"/>
          <w:szCs w:val="21"/>
          <w:lang w:val="en-US" w:eastAsia="zh-CN"/>
        </w:rPr>
        <w:t xml:space="preserve">招标代理服务费</w:t>
      </w:r>
      <w:r>
        <w:rPr>
          <w:rFonts w:hint="eastAsia" w:ascii="仿宋" w:hAnsi="仿宋" w:eastAsia="仿宋" w:cs="仿宋"/>
          <w:sz w:val="24"/>
          <w:szCs w:val="21"/>
          <w:lang w:val="zh-CN" w:eastAsia="zh-CN"/>
        </w:rPr>
        <w:t xml:space="preserve">）</w:t>
      </w:r>
      <w:r>
        <w:rPr>
          <w:rFonts w:hint="eastAsia" w:ascii="仿宋" w:hAnsi="仿宋" w:eastAsia="仿宋" w:cs="仿宋"/>
          <w:sz w:val="24"/>
          <w:szCs w:val="21"/>
          <w:lang w:val="en-US" w:eastAsia="zh-CN"/>
        </w:rPr>
        <w:t xml:space="preserve">由中标供应商（中标人）代付。</w:t>
      </w:r>
      <w:r>
        <w:rPr>
          <w:rFonts w:hint="eastAsia" w:ascii="仿宋" w:hAnsi="仿宋" w:eastAsia="仿宋" w:cs="仿宋"/>
          <w:sz w:val="24"/>
          <w:szCs w:val="21"/>
          <w:lang w:val="zh-CN"/>
        </w:rPr>
        <w:t xml:space="preserve">中标单位须在领取中标通知书</w:t>
      </w:r>
      <w:r>
        <w:rPr>
          <w:rFonts w:hint="eastAsia" w:ascii="仿宋" w:hAnsi="仿宋" w:eastAsia="仿宋" w:cs="仿宋"/>
          <w:sz w:val="24"/>
          <w:szCs w:val="21"/>
          <w:lang w:val="en-US" w:eastAsia="zh-CN"/>
        </w:rPr>
        <w:t xml:space="preserve">前</w:t>
      </w:r>
      <w:r>
        <w:rPr>
          <w:rFonts w:hint="eastAsia" w:ascii="仿宋" w:hAnsi="仿宋" w:eastAsia="仿宋" w:cs="仿宋"/>
          <w:sz w:val="24"/>
          <w:szCs w:val="21"/>
          <w:lang w:val="zh-CN"/>
        </w:rPr>
        <w:t xml:space="preserve">按本文的规定支付</w:t>
      </w:r>
      <w:r>
        <w:rPr>
          <w:rFonts w:hint="eastAsia" w:ascii="仿宋" w:hAnsi="仿宋" w:eastAsia="仿宋" w:cs="仿宋"/>
          <w:sz w:val="24"/>
          <w:szCs w:val="21"/>
          <w:lang w:val="zh-CN" w:eastAsia="zh-CN"/>
        </w:rPr>
        <w:t xml:space="preserve">政府采购代理服务费</w:t>
      </w:r>
      <w:r>
        <w:rPr>
          <w:rFonts w:hint="eastAsia" w:ascii="仿宋" w:hAnsi="仿宋" w:eastAsia="仿宋" w:cs="仿宋"/>
          <w:sz w:val="24"/>
          <w:szCs w:val="21"/>
          <w:lang w:val="zh-CN"/>
        </w:rPr>
        <w:t xml:space="preserve">及相关费用。中标单位如果未按规定缴纳</w:t>
      </w:r>
      <w:r>
        <w:rPr>
          <w:rFonts w:hint="eastAsia" w:ascii="仿宋" w:hAnsi="仿宋" w:eastAsia="仿宋" w:cs="仿宋"/>
          <w:sz w:val="24"/>
          <w:szCs w:val="21"/>
          <w:lang w:val="zh-CN" w:eastAsia="zh-CN"/>
        </w:rPr>
        <w:t xml:space="preserve">政府采购代理服务费</w:t>
      </w:r>
      <w:r>
        <w:rPr>
          <w:rFonts w:hint="eastAsia" w:ascii="仿宋" w:hAnsi="仿宋" w:eastAsia="仿宋" w:cs="仿宋"/>
          <w:sz w:val="24"/>
          <w:szCs w:val="21"/>
          <w:lang w:val="zh-CN"/>
        </w:rPr>
        <w:t xml:space="preserve">，将上报主管部门，并保留</w:t>
      </w:r>
      <w:r>
        <w:rPr>
          <w:rFonts w:hint="eastAsia" w:ascii="仿宋" w:hAnsi="仿宋" w:eastAsia="仿宋" w:cs="仿宋"/>
          <w:sz w:val="24"/>
          <w:szCs w:val="21"/>
          <w:lang w:val="en-US" w:eastAsia="zh-CN"/>
        </w:rPr>
        <w:t xml:space="preserve">对其</w:t>
      </w:r>
      <w:r>
        <w:rPr>
          <w:rFonts w:hint="eastAsia" w:ascii="仿宋" w:hAnsi="仿宋" w:eastAsia="仿宋" w:cs="仿宋"/>
          <w:sz w:val="24"/>
          <w:szCs w:val="21"/>
          <w:lang w:val="zh-CN"/>
        </w:rPr>
        <w:t xml:space="preserve">诉讼的权利。</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lang w:val="zh-CN"/>
        </w:rPr>
      </w:pPr>
      <w:r>
        <w:rPr>
          <w:rFonts w:hint="eastAsia" w:ascii="仿宋" w:hAnsi="仿宋" w:eastAsia="仿宋" w:cs="仿宋"/>
          <w:sz w:val="24"/>
          <w:szCs w:val="21"/>
          <w:lang w:val="zh-CN"/>
        </w:rPr>
        <w:t xml:space="preserve">3</w:t>
      </w:r>
      <w:r>
        <w:rPr>
          <w:rFonts w:hint="eastAsia" w:ascii="仿宋" w:hAnsi="仿宋" w:eastAsia="仿宋" w:cs="仿宋"/>
          <w:sz w:val="24"/>
          <w:szCs w:val="21"/>
          <w:lang w:val="en-US" w:eastAsia="zh-CN"/>
        </w:rPr>
        <w:t xml:space="preserve">4</w:t>
      </w:r>
      <w:r>
        <w:rPr>
          <w:rFonts w:hint="eastAsia" w:ascii="仿宋" w:hAnsi="仿宋" w:eastAsia="仿宋" w:cs="仿宋"/>
          <w:sz w:val="24"/>
          <w:szCs w:val="21"/>
          <w:lang w:val="zh-CN"/>
        </w:rPr>
        <w:t xml:space="preserve">.</w:t>
      </w:r>
      <w:r>
        <w:rPr>
          <w:rFonts w:hint="eastAsia" w:ascii="仿宋" w:hAnsi="仿宋" w:eastAsia="仿宋" w:cs="仿宋"/>
          <w:sz w:val="24"/>
          <w:szCs w:val="21"/>
          <w:lang w:val="en-US" w:eastAsia="zh-CN"/>
        </w:rPr>
        <w:t xml:space="preserve">1</w:t>
      </w:r>
      <w:r>
        <w:rPr>
          <w:rFonts w:hint="eastAsia" w:ascii="仿宋" w:hAnsi="仿宋" w:eastAsia="仿宋" w:cs="仿宋"/>
          <w:sz w:val="24"/>
          <w:szCs w:val="21"/>
          <w:lang w:val="zh-CN"/>
        </w:rPr>
        <w:t xml:space="preserve">.2 </w:t>
      </w:r>
      <w:r>
        <w:rPr>
          <w:rFonts w:hint="eastAsia" w:ascii="仿宋" w:hAnsi="仿宋" w:eastAsia="仿宋" w:cs="仿宋"/>
          <w:sz w:val="24"/>
          <w:szCs w:val="21"/>
          <w:lang w:val="en-US" w:eastAsia="zh-CN"/>
        </w:rPr>
        <w:t xml:space="preserve">政府采购代理服务费（招标代理</w:t>
      </w:r>
      <w:r>
        <w:rPr>
          <w:rFonts w:hint="eastAsia" w:ascii="仿宋" w:hAnsi="仿宋" w:eastAsia="仿宋" w:cs="仿宋"/>
          <w:sz w:val="24"/>
          <w:szCs w:val="21"/>
          <w:highlight w:val="none"/>
          <w:lang w:val="en-US" w:eastAsia="zh-CN"/>
        </w:rPr>
        <w:t xml:space="preserve">服务费）支付时间：</w:t>
      </w:r>
      <w:r>
        <w:rPr>
          <w:rFonts w:hint="eastAsia" w:ascii="仿宋" w:hAnsi="仿宋" w:eastAsia="仿宋" w:cs="仿宋"/>
          <w:sz w:val="24"/>
          <w:szCs w:val="21"/>
          <w:highlight w:val="none"/>
          <w:lang w:val="zh-CN"/>
        </w:rPr>
        <w:t xml:space="preserve">中标人（</w:t>
      </w:r>
      <w:r>
        <w:rPr>
          <w:rFonts w:hint="eastAsia" w:ascii="仿宋" w:hAnsi="仿宋" w:eastAsia="仿宋" w:cs="仿宋"/>
          <w:sz w:val="24"/>
          <w:szCs w:val="21"/>
          <w:highlight w:val="none"/>
          <w:lang w:val="en-US" w:eastAsia="zh-CN"/>
        </w:rPr>
        <w:t xml:space="preserve">中标</w:t>
      </w:r>
      <w:r>
        <w:rPr>
          <w:rFonts w:hint="eastAsia" w:ascii="仿宋" w:hAnsi="仿宋" w:eastAsia="仿宋" w:cs="仿宋"/>
          <w:sz w:val="24"/>
          <w:szCs w:val="21"/>
          <w:highlight w:val="none"/>
          <w:lang w:val="zh-CN"/>
        </w:rPr>
        <w:t xml:space="preserve">供应商）须在领取中标通知书前一次性支付，投标供应商须综合</w:t>
      </w:r>
      <w:r>
        <w:rPr>
          <w:rFonts w:hint="eastAsia" w:ascii="仿宋" w:hAnsi="仿宋" w:eastAsia="仿宋" w:cs="仿宋"/>
          <w:sz w:val="24"/>
          <w:szCs w:val="21"/>
          <w:highlight w:val="none"/>
          <w:lang w:val="en-US" w:eastAsia="zh-CN"/>
        </w:rPr>
        <w:t xml:space="preserve">考虑此部分费用并</w:t>
      </w:r>
      <w:r>
        <w:rPr>
          <w:rFonts w:hint="eastAsia" w:ascii="仿宋" w:hAnsi="仿宋" w:eastAsia="仿宋" w:cs="仿宋"/>
          <w:sz w:val="24"/>
          <w:szCs w:val="21"/>
          <w:highlight w:val="none"/>
          <w:lang w:val="zh-CN"/>
        </w:rPr>
        <w:t xml:space="preserve">纳入投标总报价</w:t>
      </w:r>
      <w:r>
        <w:rPr>
          <w:rFonts w:hint="eastAsia" w:ascii="仿宋" w:hAnsi="仿宋" w:eastAsia="仿宋" w:cs="仿宋"/>
          <w:sz w:val="24"/>
          <w:szCs w:val="21"/>
          <w:highlight w:val="none"/>
          <w:lang w:val="zh-CN" w:eastAsia="zh-CN"/>
        </w:rPr>
        <w:t xml:space="preserve">（</w:t>
      </w:r>
      <w:r>
        <w:rPr>
          <w:rFonts w:hint="eastAsia" w:ascii="仿宋" w:hAnsi="仿宋" w:eastAsia="仿宋" w:cs="仿宋"/>
          <w:sz w:val="24"/>
          <w:szCs w:val="21"/>
          <w:highlight w:val="none"/>
          <w:lang w:val="en-US" w:eastAsia="zh-CN"/>
        </w:rPr>
        <w:t xml:space="preserve">不得单列</w:t>
      </w:r>
      <w:r>
        <w:rPr>
          <w:rFonts w:hint="eastAsia" w:ascii="仿宋" w:hAnsi="仿宋" w:eastAsia="仿宋" w:cs="仿宋"/>
          <w:sz w:val="24"/>
          <w:szCs w:val="21"/>
          <w:highlight w:val="none"/>
          <w:lang w:val="zh-CN" w:eastAsia="zh-CN"/>
        </w:rPr>
        <w:t xml:space="preserve">）</w:t>
      </w:r>
      <w:r>
        <w:rPr>
          <w:rFonts w:hint="eastAsia" w:ascii="仿宋" w:hAnsi="仿宋" w:eastAsia="仿宋" w:cs="仿宋"/>
          <w:color w:val="auto"/>
          <w:sz w:val="24"/>
          <w:szCs w:val="21"/>
          <w:highlight w:val="none"/>
          <w:lang w:val="zh-CN"/>
        </w:rPr>
        <w:t xml:space="preserve">，采购人不另行支付。</w:t>
      </w:r>
      <w:r/>
    </w:p>
    <w:p>
      <w:pPr>
        <w:ind w:left="0" w:right="0" w:firstLine="480"/>
        <w:pageBreakBefore w:val="0"/>
        <w:spacing w:line="520" w:lineRule="exact"/>
        <w:tabs>
          <w:tab w:val="left" w:pos="900" w:leader="none"/>
        </w:tabs>
        <w:rPr>
          <w:rFonts w:hint="eastAsia" w:ascii="仿宋" w:hAnsi="仿宋" w:eastAsia="仿宋" w:cs="仿宋"/>
          <w:color w:val="auto"/>
          <w:sz w:val="24"/>
          <w:szCs w:val="21"/>
          <w:highlight w:val="none"/>
          <w:u w:val="single"/>
          <w:lang w:val="en-US" w:eastAsia="zh-CN"/>
        </w:rPr>
      </w:pP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lang w:val="zh-CN"/>
        </w:rPr>
        <w:t xml:space="preserve">.</w:t>
      </w:r>
      <w:r>
        <w:rPr>
          <w:rFonts w:hint="eastAsia" w:ascii="仿宋" w:hAnsi="仿宋" w:eastAsia="仿宋" w:cs="仿宋"/>
          <w:color w:val="auto"/>
          <w:sz w:val="24"/>
          <w:szCs w:val="21"/>
          <w:highlight w:val="none"/>
          <w:lang w:val="en-US" w:eastAsia="zh-CN"/>
        </w:rPr>
        <w:t xml:space="preserve">1</w:t>
      </w:r>
      <w:r>
        <w:rPr>
          <w:rFonts w:hint="eastAsia" w:ascii="仿宋" w:hAnsi="仿宋" w:eastAsia="仿宋" w:cs="仿宋"/>
          <w:color w:val="auto"/>
          <w:sz w:val="24"/>
          <w:szCs w:val="21"/>
          <w:highlight w:val="none"/>
          <w:lang w:val="zh-CN"/>
        </w:rPr>
        <w:t xml:space="preserve">.3</w:t>
      </w:r>
      <w:r>
        <w:rPr>
          <w:rFonts w:hint="eastAsia" w:ascii="仿宋" w:hAnsi="仿宋" w:eastAsia="仿宋" w:cs="仿宋"/>
          <w:color w:val="auto"/>
          <w:sz w:val="24"/>
          <w:szCs w:val="21"/>
          <w:highlight w:val="none"/>
          <w:lang w:val="en-US" w:eastAsia="zh-CN"/>
        </w:rPr>
        <w:t xml:space="preserve">政府</w:t>
      </w:r>
      <w:r>
        <w:rPr>
          <w:rFonts w:hint="eastAsia" w:ascii="仿宋" w:hAnsi="仿宋" w:eastAsia="仿宋" w:cs="仿宋"/>
          <w:color w:val="auto"/>
          <w:sz w:val="24"/>
          <w:szCs w:val="21"/>
          <w:highlight w:val="none"/>
          <w:lang w:val="zh-CN"/>
        </w:rPr>
        <w:t xml:space="preserve">采购代理服务费</w:t>
      </w:r>
      <w:r>
        <w:rPr>
          <w:rFonts w:hint="eastAsia" w:ascii="仿宋" w:hAnsi="仿宋" w:eastAsia="仿宋" w:cs="仿宋"/>
          <w:color w:val="auto"/>
          <w:sz w:val="24"/>
          <w:szCs w:val="21"/>
          <w:highlight w:val="none"/>
          <w:lang w:val="en-US" w:eastAsia="zh-CN"/>
        </w:rPr>
        <w:t xml:space="preserve">收费标准（或金额）：</w:t>
      </w:r>
      <w:r>
        <w:rPr>
          <w:rFonts w:hint="eastAsia" w:ascii="仿宋" w:hAnsi="仿宋" w:eastAsia="仿宋" w:cs="仿宋"/>
          <w:color w:val="auto"/>
          <w:sz w:val="24"/>
          <w:szCs w:val="21"/>
          <w:highlight w:val="none"/>
          <w:u w:val="single"/>
          <w:lang w:val="en-US" w:eastAsia="zh-CN"/>
        </w:rPr>
        <w:t xml:space="preserve">7800元</w:t>
      </w:r>
      <w:r>
        <w:rPr>
          <w:rFonts w:hint="eastAsia" w:ascii="仿宋" w:hAnsi="仿宋" w:eastAsia="仿宋" w:cs="仿宋"/>
          <w:color w:val="auto"/>
          <w:sz w:val="24"/>
          <w:szCs w:val="21"/>
          <w:highlight w:val="none"/>
          <w:u w:val="none"/>
          <w:lang w:val="en-US" w:eastAsia="zh-CN"/>
        </w:rPr>
        <w:t xml:space="preserve">。</w:t>
      </w:r>
      <w:r/>
    </w:p>
    <w:p>
      <w:pPr>
        <w:ind w:left="0" w:right="0" w:firstLine="480"/>
        <w:pageBreakBefore w:val="0"/>
        <w:spacing w:line="520" w:lineRule="exact"/>
        <w:tabs>
          <w:tab w:val="left" w:pos="900" w:leader="none"/>
        </w:tabs>
        <w:rPr>
          <w:rFonts w:hint="eastAsia" w:ascii="仿宋" w:hAnsi="仿宋" w:eastAsia="仿宋" w:cs="仿宋"/>
          <w:sz w:val="24"/>
          <w:szCs w:val="21"/>
          <w:lang w:val="zh-CN"/>
        </w:rPr>
      </w:pPr>
      <w:r>
        <w:rPr>
          <w:rFonts w:hint="eastAsia" w:ascii="仿宋" w:hAnsi="仿宋" w:eastAsia="仿宋" w:cs="仿宋"/>
          <w:color w:val="auto"/>
          <w:sz w:val="24"/>
          <w:szCs w:val="21"/>
          <w:lang w:val="zh-CN"/>
        </w:rPr>
        <w:t xml:space="preserve">3</w:t>
      </w: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lang w:val="zh-CN"/>
        </w:rPr>
        <w:t xml:space="preserve">.</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lang w:val="zh-CN"/>
        </w:rPr>
        <w:t xml:space="preserve">.4中标供应商未按照上述规定支付采购代理服务费（招标代</w:t>
      </w:r>
      <w:r>
        <w:rPr>
          <w:rFonts w:hint="eastAsia" w:ascii="仿宋" w:hAnsi="仿宋" w:eastAsia="仿宋" w:cs="仿宋"/>
          <w:sz w:val="24"/>
          <w:szCs w:val="21"/>
          <w:lang w:val="zh-CN"/>
        </w:rPr>
        <w:t xml:space="preserve">理服务费）的，采购人将拒绝发放《中标通知书》，供应商务必将此项费用综合考虑纳入报价中。</w:t>
      </w:r>
      <w:r/>
    </w:p>
    <w:p>
      <w:pPr>
        <w:ind w:left="0" w:right="0" w:firstLine="480"/>
        <w:pageBreakBefore w:val="0"/>
        <w:spacing w:line="520" w:lineRule="exact"/>
        <w:tabs>
          <w:tab w:val="left" w:pos="900" w:leader="none"/>
        </w:tabs>
        <w:rPr>
          <w:rFonts w:hint="default" w:ascii="仿宋" w:hAnsi="仿宋" w:eastAsia="仿宋" w:cs="仿宋"/>
          <w:sz w:val="24"/>
          <w:szCs w:val="21"/>
          <w:lang w:val="zh-CN"/>
        </w:rPr>
        <w:outlineLvl w:val="1"/>
      </w:pPr>
      <w:r/>
      <w:bookmarkStart w:id="267" w:name="_Toc2737"/>
      <w:r>
        <w:rPr>
          <w:rFonts w:hint="eastAsia" w:ascii="仿宋" w:hAnsi="仿宋" w:eastAsia="仿宋" w:cs="仿宋"/>
          <w:sz w:val="24"/>
          <w:szCs w:val="21"/>
          <w:lang w:val="en-US" w:eastAsia="zh-CN"/>
        </w:rPr>
        <w:t xml:space="preserve">35</w:t>
      </w:r>
      <w:r>
        <w:rPr>
          <w:rFonts w:hint="default" w:ascii="仿宋" w:hAnsi="仿宋" w:eastAsia="仿宋" w:cs="仿宋"/>
          <w:sz w:val="24"/>
          <w:szCs w:val="21"/>
          <w:lang w:val="zh-CN"/>
        </w:rPr>
        <w:t xml:space="preserve">.监督</w:t>
      </w:r>
      <w:bookmarkEnd w:id="263"/>
      <w:r/>
      <w:bookmarkEnd w:id="264"/>
      <w:r/>
      <w:bookmarkEnd w:id="265"/>
      <w:r/>
      <w:bookmarkEnd w:id="266"/>
      <w:r/>
      <w:bookmarkEnd w:id="267"/>
      <w:r/>
      <w:r/>
    </w:p>
    <w:p>
      <w:pPr>
        <w:ind w:left="0" w:right="0" w:firstLine="480"/>
        <w:pageBreakBefore w:val="0"/>
        <w:spacing w:line="520" w:lineRule="exact"/>
        <w:tabs>
          <w:tab w:val="left" w:pos="900" w:leader="none"/>
        </w:tabs>
        <w:rPr>
          <w:rFonts w:hint="default" w:ascii="仿宋" w:hAnsi="仿宋" w:eastAsia="仿宋" w:cs="仿宋"/>
          <w:sz w:val="24"/>
          <w:szCs w:val="21"/>
          <w:lang w:val="zh-CN"/>
        </w:rPr>
      </w:pPr>
      <w:r/>
      <w:bookmarkStart w:id="268" w:name="_Toc13963"/>
      <w:r/>
      <w:bookmarkStart w:id="269" w:name="_Toc17305_WPSOffice_Level3"/>
      <w:r/>
      <w:bookmarkStart w:id="270" w:name="_Toc11103"/>
      <w:r/>
      <w:bookmarkStart w:id="271" w:name="_Toc24050"/>
      <w:r>
        <w:rPr>
          <w:rFonts w:hint="eastAsia" w:ascii="仿宋" w:hAnsi="仿宋" w:eastAsia="仿宋" w:cs="仿宋"/>
          <w:sz w:val="24"/>
          <w:szCs w:val="21"/>
          <w:lang w:val="en-US" w:eastAsia="zh-CN"/>
        </w:rPr>
        <w:t xml:space="preserve">35</w:t>
      </w:r>
      <w:r>
        <w:rPr>
          <w:rFonts w:hint="default" w:ascii="仿宋" w:hAnsi="仿宋" w:eastAsia="仿宋" w:cs="仿宋"/>
          <w:sz w:val="24"/>
          <w:szCs w:val="21"/>
          <w:lang w:val="zh-CN"/>
        </w:rPr>
        <w:t xml:space="preserve">.1有关监督部门将对招投标全过程进行监督。</w:t>
      </w:r>
      <w:bookmarkEnd w:id="268"/>
      <w:r/>
      <w:bookmarkEnd w:id="269"/>
      <w:r/>
      <w:bookmarkEnd w:id="270"/>
      <w:r/>
      <w:bookmarkEnd w:id="271"/>
      <w:r/>
      <w:r/>
    </w:p>
    <w:p>
      <w:pPr>
        <w:ind w:left="0" w:right="0" w:firstLine="480"/>
        <w:pageBreakBefore w:val="0"/>
        <w:spacing w:line="520" w:lineRule="exact"/>
        <w:tabs>
          <w:tab w:val="left" w:pos="900" w:leader="none"/>
        </w:tabs>
        <w:rPr>
          <w:rFonts w:hint="default" w:ascii="仿宋" w:hAnsi="仿宋" w:eastAsia="仿宋" w:cs="仿宋"/>
          <w:sz w:val="24"/>
          <w:szCs w:val="21"/>
          <w:lang w:val="zh-CN"/>
        </w:rPr>
        <w:outlineLvl w:val="1"/>
      </w:pPr>
      <w:r/>
      <w:bookmarkStart w:id="272" w:name="_Toc14398"/>
      <w:r/>
      <w:bookmarkStart w:id="273" w:name="_Toc27140_WPSOffice_Level2"/>
      <w:r/>
      <w:bookmarkStart w:id="274" w:name="_Toc6547"/>
      <w:r/>
      <w:bookmarkStart w:id="275" w:name="_Toc20211"/>
      <w:r/>
      <w:bookmarkStart w:id="276" w:name="_Toc804"/>
      <w:r>
        <w:rPr>
          <w:rFonts w:hint="eastAsia" w:ascii="仿宋" w:hAnsi="仿宋" w:eastAsia="仿宋" w:cs="仿宋"/>
          <w:sz w:val="24"/>
          <w:szCs w:val="21"/>
          <w:lang w:val="en-US" w:eastAsia="zh-CN"/>
        </w:rPr>
        <w:t xml:space="preserve">36</w:t>
      </w:r>
      <w:r>
        <w:rPr>
          <w:rFonts w:hint="default" w:ascii="仿宋" w:hAnsi="仿宋" w:eastAsia="仿宋" w:cs="仿宋"/>
          <w:sz w:val="24"/>
          <w:szCs w:val="21"/>
          <w:lang w:val="zh-CN"/>
        </w:rPr>
        <w:t xml:space="preserve">.未尽事宜</w:t>
      </w:r>
      <w:bookmarkEnd w:id="272"/>
      <w:r/>
      <w:bookmarkEnd w:id="273"/>
      <w:r/>
      <w:bookmarkEnd w:id="274"/>
      <w:r/>
      <w:bookmarkEnd w:id="275"/>
      <w:r/>
      <w:bookmarkEnd w:id="276"/>
      <w:r/>
      <w:r/>
    </w:p>
    <w:p>
      <w:pPr>
        <w:ind w:left="0" w:right="0" w:firstLine="480"/>
        <w:jc w:val="both"/>
        <w:pageBreakBefore w:val="0"/>
        <w:spacing w:line="520" w:lineRule="exact"/>
        <w:tabs>
          <w:tab w:val="left" w:pos="900" w:leader="none"/>
        </w:tabs>
        <w:rPr>
          <w:rFonts w:hint="default" w:ascii="仿宋" w:hAnsi="仿宋" w:eastAsia="仿宋" w:cs="仿宋"/>
          <w:sz w:val="24"/>
          <w:szCs w:val="21"/>
          <w:lang w:val="zh-CN"/>
        </w:rPr>
      </w:pPr>
      <w:r>
        <w:rPr>
          <w:rFonts w:hint="default" w:ascii="仿宋" w:hAnsi="仿宋" w:eastAsia="仿宋" w:cs="仿宋"/>
          <w:sz w:val="24"/>
          <w:szCs w:val="21"/>
          <w:lang w:val="zh-CN"/>
        </w:rPr>
        <w:t xml:space="preserve">按有关招投标的法律法规及相关法规规定执行。</w:t>
      </w:r>
      <w:r/>
    </w:p>
    <w:p>
      <w:pPr>
        <w:pStyle w:val="661"/>
        <w:jc w:val="both"/>
        <w:spacing w:beforeAutospacing="0" w:afterAutospacing="0"/>
        <w:rPr>
          <w:rFonts w:hint="eastAsia" w:ascii="宋体" w:hAnsi="宋体" w:eastAsia="宋体" w:cs="宋体"/>
          <w:sz w:val="24"/>
          <w:szCs w:val="24"/>
          <w:highlight w:val="none"/>
        </w:rPr>
      </w:pPr>
      <w:r>
        <w:rPr>
          <w:rFonts w:hint="default" w:ascii="Times New Roman" w:hAnsi="Times New Roman" w:eastAsia="宋体" w:cs="Times New Roman"/>
          <w:b/>
          <w:strike/>
          <w:sz w:val="24"/>
          <w:szCs w:val="24"/>
        </w:rPr>
        <w:br w:type="page" w:clear="all"/>
      </w:r>
      <w:r/>
    </w:p>
    <w:p>
      <w:pPr>
        <w:jc w:val="center"/>
        <w:rPr>
          <w:rFonts w:hint="eastAsia" w:ascii="方正小标宋简体" w:hAnsi="方正小标宋简体" w:eastAsia="方正小标宋简体" w:cs="方正小标宋简体"/>
          <w:sz w:val="44"/>
          <w:szCs w:val="44"/>
          <w:highlight w:val="none"/>
        </w:rPr>
        <w:outlineLvl w:val="0"/>
      </w:pPr>
      <w:r/>
      <w:bookmarkStart w:id="277" w:name="_Toc25097"/>
      <w:r/>
      <w:bookmarkStart w:id="278" w:name="_Toc3194"/>
      <w:r>
        <w:rPr>
          <w:rFonts w:hint="eastAsia" w:ascii="方正小标宋简体" w:hAnsi="方正小标宋简体" w:eastAsia="方正小标宋简体" w:cs="方正小标宋简体"/>
          <w:color w:val="000000"/>
          <w:sz w:val="44"/>
          <w:szCs w:val="44"/>
          <w:highlight w:val="none"/>
        </w:rPr>
        <w:t xml:space="preserve">第三章  合同文本</w:t>
      </w:r>
      <w:bookmarkEnd w:id="277"/>
      <w:r/>
      <w:bookmarkEnd w:id="278"/>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bookmarkStart w:id="279" w:name="_Toc513029243"/>
      <w:r/>
      <w:bookmarkStart w:id="280" w:name="_Toc16938559"/>
      <w:r/>
      <w:bookmarkStart w:id="281" w:name="_Toc20823315"/>
      <w:r>
        <w:rPr>
          <w:rFonts w:hint="eastAsia" w:ascii="仿宋" w:hAnsi="仿宋" w:eastAsia="仿宋" w:cs="仿宋"/>
          <w:color w:val="000000"/>
          <w:sz w:val="24"/>
          <w:szCs w:val="24"/>
          <w:highlight w:val="none"/>
        </w:rPr>
        <w:t xml:space="preserve">以下为中标后</w:t>
      </w:r>
      <w:r>
        <w:rPr>
          <w:rFonts w:hint="eastAsia" w:ascii="仿宋" w:hAnsi="仿宋" w:eastAsia="仿宋" w:cs="仿宋"/>
          <w:color w:val="000000"/>
          <w:sz w:val="24"/>
          <w:szCs w:val="24"/>
          <w:highlight w:val="none"/>
          <w:lang w:eastAsia="zh-CN"/>
        </w:rPr>
        <w:t xml:space="preserve">签订</w:t>
      </w:r>
      <w:r>
        <w:rPr>
          <w:rFonts w:hint="eastAsia" w:ascii="仿宋" w:hAnsi="仿宋" w:eastAsia="仿宋" w:cs="仿宋"/>
          <w:color w:val="000000"/>
          <w:sz w:val="24"/>
          <w:szCs w:val="24"/>
          <w:highlight w:val="none"/>
        </w:rPr>
        <w:t xml:space="preserve">本项目合同的通用条款，中标人不得提出实质性的修改。</w:t>
      </w:r>
      <w:bookmarkEnd w:id="279"/>
      <w:r/>
      <w:bookmarkEnd w:id="280"/>
      <w:r/>
      <w:bookmarkEnd w:id="281"/>
      <w:r/>
      <w:r/>
    </w:p>
    <w:p>
      <w:pPr>
        <w:pStyle w:val="661"/>
        <w:ind w:left="0" w:firstLine="482"/>
        <w:jc w:val="center"/>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2" w:name="_Toc25419"/>
      <w:r/>
      <w:bookmarkStart w:id="283" w:name="_Toc434"/>
      <w:r>
        <w:rPr>
          <w:rFonts w:hint="eastAsia" w:ascii="仿宋" w:hAnsi="仿宋" w:eastAsia="仿宋" w:cs="仿宋"/>
          <w:b/>
          <w:color w:val="auto"/>
          <w:sz w:val="24"/>
          <w:szCs w:val="24"/>
          <w:highlight w:val="none"/>
        </w:rPr>
        <w:t xml:space="preserve">盐城市政府采购合同（服务）（合同编号）</w:t>
      </w:r>
      <w:bookmarkEnd w:id="282"/>
      <w:r/>
      <w:bookmarkEnd w:id="283"/>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b w:val="0"/>
          <w:bCs/>
          <w:color w:val="auto"/>
          <w:sz w:val="24"/>
          <w:szCs w:val="24"/>
          <w:highlight w:val="none"/>
          <w:u w:val="single"/>
          <w:lang w:eastAsia="zh-CN"/>
        </w:rPr>
        <w:t xml:space="preserve">滨海县黄河故道风貌带片区规划编制项目</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b w:val="0"/>
          <w:bCs/>
          <w:color w:val="auto"/>
          <w:sz w:val="24"/>
          <w:szCs w:val="24"/>
          <w:highlight w:val="none"/>
          <w:u w:val="single"/>
          <w:lang w:eastAsia="zh-CN"/>
        </w:rPr>
        <w:t xml:space="preserve">JSZC-320922-JSJS-G2025-0008</w:t>
      </w:r>
      <w:r/>
    </w:p>
    <w:p>
      <w:pPr>
        <w:pStyle w:val="661"/>
        <w:ind w:left="0" w:firstLine="480"/>
        <w:jc w:val="both"/>
        <w:keepLines w:val="0"/>
        <w:keepNext w:val="0"/>
        <w:pageBreakBefore w:val="0"/>
        <w:spacing w:beforeAutospacing="0" w:afterAutospacing="0" w:line="52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滨海县乡村振兴服务中心</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中标供应商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：_________</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甲方组织并委托</w:t>
      </w:r>
      <w:r>
        <w:rPr>
          <w:rFonts w:hint="eastAsia" w:ascii="仿宋" w:hAnsi="仿宋" w:eastAsia="仿宋" w:cs="仿宋"/>
          <w:b w:val="0"/>
          <w:bCs/>
          <w:color w:val="auto"/>
          <w:sz w:val="24"/>
          <w:szCs w:val="24"/>
          <w:highlight w:val="none"/>
          <w:u w:val="single"/>
        </w:rPr>
        <w:t xml:space="preserve">江苏建世工程咨询有限公司</w:t>
      </w:r>
      <w:r>
        <w:rPr>
          <w:rFonts w:hint="eastAsia" w:ascii="仿宋" w:hAnsi="仿宋" w:eastAsia="仿宋" w:cs="仿宋"/>
          <w:b w:val="0"/>
          <w:bCs/>
          <w:color w:val="auto"/>
          <w:sz w:val="24"/>
          <w:szCs w:val="24"/>
          <w:highlight w:val="none"/>
        </w:rPr>
        <w:t xml:space="preserve">实施的</w:t>
      </w:r>
      <w:r>
        <w:rPr>
          <w:rFonts w:hint="eastAsia" w:ascii="仿宋" w:hAnsi="仿宋" w:eastAsia="仿宋" w:cs="仿宋"/>
          <w:b w:val="0"/>
          <w:bCs/>
          <w:color w:val="auto"/>
          <w:sz w:val="24"/>
          <w:szCs w:val="24"/>
          <w:highlight w:val="none"/>
          <w:u w:val="single"/>
          <w:lang w:eastAsia="zh-CN"/>
        </w:rPr>
        <w:t xml:space="preserve">滨海县黄河故道风貌带片区规划编制项目</w:t>
      </w:r>
      <w:r>
        <w:rPr>
          <w:rFonts w:hint="eastAsia" w:ascii="仿宋" w:hAnsi="仿宋" w:eastAsia="仿宋" w:cs="仿宋"/>
          <w:b w:val="0"/>
          <w:bCs/>
          <w:color w:val="auto"/>
          <w:sz w:val="24"/>
          <w:szCs w:val="24"/>
          <w:highlight w:val="none"/>
        </w:rPr>
        <w:t xml:space="preserve">（采购项目编号：</w:t>
      </w:r>
      <w:r>
        <w:rPr>
          <w:rFonts w:hint="eastAsia" w:ascii="仿宋" w:hAnsi="仿宋" w:eastAsia="仿宋" w:cs="仿宋"/>
          <w:b w:val="0"/>
          <w:bCs/>
          <w:color w:val="auto"/>
          <w:sz w:val="24"/>
          <w:szCs w:val="24"/>
          <w:highlight w:val="none"/>
          <w:u w:val="single"/>
          <w:lang w:eastAsia="zh-CN"/>
        </w:rPr>
        <w:t xml:space="preserve">JSZC-320922-JSJS-G2025-0008</w:t>
      </w:r>
      <w:r>
        <w:rPr>
          <w:rFonts w:hint="eastAsia" w:ascii="仿宋" w:hAnsi="仿宋" w:eastAsia="仿宋" w:cs="仿宋"/>
          <w:b w:val="0"/>
          <w:bCs/>
          <w:color w:val="auto"/>
          <w:sz w:val="24"/>
          <w:szCs w:val="24"/>
          <w:highlight w:val="none"/>
        </w:rPr>
        <w:t xml:space="preserve">）招标活动，确认乙方为中标供应商。现依据《中华人民共和国民法典》和其他有关法规，经甲、乙两方协商，就有关事项达成如下合同，双方同意严格执行本合同规定的所有条款。</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4" w:name="_Toc29329"/>
      <w:r/>
      <w:bookmarkStart w:id="285" w:name="_Toc14128"/>
      <w:r>
        <w:rPr>
          <w:rFonts w:hint="eastAsia" w:ascii="仿宋" w:hAnsi="仿宋" w:eastAsia="仿宋" w:cs="仿宋"/>
          <w:b/>
          <w:color w:val="auto"/>
          <w:sz w:val="24"/>
          <w:szCs w:val="24"/>
          <w:highlight w:val="none"/>
        </w:rPr>
        <w:t xml:space="preserve">一、合同内容</w:t>
      </w:r>
      <w:bookmarkEnd w:id="284"/>
      <w:r/>
      <w:bookmarkEnd w:id="285"/>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1.1 标的名称：</w:t>
      </w:r>
      <w:r>
        <w:rPr>
          <w:rFonts w:hint="eastAsia" w:ascii="仿宋" w:hAnsi="仿宋" w:eastAsia="仿宋" w:cs="仿宋"/>
          <w:color w:val="auto"/>
          <w:sz w:val="24"/>
          <w:szCs w:val="24"/>
          <w:highlight w:val="none"/>
          <w:u w:val="single"/>
          <w:lang w:eastAsia="zh-CN"/>
        </w:rPr>
        <w:t xml:space="preserve">滨海县黄河故道风貌带片区规划编制项目</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标的数量（规模）：为贯彻习近平总书记 “千万工程” 重要指示，落实《江苏省宜居宜业和美乡村建设指南》等政策，推进乡村从 “点状振兴” 转向连片整治提升，规划县内 8 个行政村（统筹5个已创成和美乡村）。实施内容含资源评估、定位路径规划、设施环境建设及实施治理。要求30</w:t>
      </w:r>
      <w:r>
        <w:rPr>
          <w:rFonts w:hint="eastAsia" w:ascii="仿宋" w:hAnsi="仿宋" w:eastAsia="仿宋" w:cs="仿宋"/>
          <w:color w:val="auto"/>
          <w:sz w:val="24"/>
          <w:szCs w:val="24"/>
          <w:highlight w:val="none"/>
          <w:lang w:val="en-US" w:eastAsia="zh-CN"/>
        </w:rPr>
        <w:t xml:space="preserve">天</w:t>
      </w:r>
      <w:r>
        <w:rPr>
          <w:rFonts w:hint="eastAsia" w:ascii="仿宋" w:hAnsi="仿宋" w:eastAsia="仿宋" w:cs="仿宋"/>
          <w:color w:val="auto"/>
          <w:sz w:val="24"/>
          <w:szCs w:val="24"/>
          <w:highlight w:val="none"/>
        </w:rPr>
        <w:t xml:space="preserve">内提交经评审通过的成果资料，提供2年跟踪服务，成果需衔接后期项目可落地，按省市最新要求调整，符合国家规范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详见采购需求</w:t>
      </w:r>
      <w:r>
        <w:rPr>
          <w:rFonts w:hint="eastAsia" w:ascii="仿宋" w:hAnsi="仿宋" w:eastAsia="仿宋" w:cs="仿宋"/>
          <w:color w:val="auto"/>
          <w:sz w:val="24"/>
          <w:szCs w:val="24"/>
          <w:highlight w:val="none"/>
          <w:lang w:eastAsia="zh-CN"/>
        </w:rPr>
        <w:t xml:space="preserve">）</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lang w:val="en-US" w:eastAsia="zh-CN"/>
        </w:rPr>
        <w:t xml:space="preserve">45日历天（合同签订后45日历天内完成全部服务内容）</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地点：</w:t>
      </w:r>
      <w:r>
        <w:rPr>
          <w:rFonts w:hint="eastAsia" w:ascii="仿宋" w:hAnsi="仿宋" w:eastAsia="仿宋" w:cs="仿宋"/>
          <w:color w:val="auto"/>
          <w:sz w:val="24"/>
          <w:szCs w:val="24"/>
          <w:highlight w:val="none"/>
          <w:lang w:val="en-US" w:eastAsia="zh-CN"/>
        </w:rPr>
        <w:t xml:space="preserve">江苏省盐城市滨海县境内</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6" w:name="_Toc9650"/>
      <w:r/>
      <w:bookmarkStart w:id="287" w:name="_Toc24720"/>
      <w:r>
        <w:rPr>
          <w:rFonts w:hint="eastAsia" w:ascii="仿宋" w:hAnsi="仿宋" w:eastAsia="仿宋" w:cs="仿宋"/>
          <w:b/>
          <w:color w:val="auto"/>
          <w:sz w:val="24"/>
          <w:szCs w:val="24"/>
          <w:highlight w:val="none"/>
        </w:rPr>
        <w:t xml:space="preserve">二、合同金额</w:t>
      </w:r>
      <w:bookmarkEnd w:id="286"/>
      <w:r/>
      <w:bookmarkEnd w:id="287"/>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2.1本合同金额为（大写）：______________圆（_________元）人民币或其他币种。</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88" w:name="_Toc32304"/>
      <w:r/>
      <w:bookmarkStart w:id="289" w:name="_Toc2058"/>
      <w:r>
        <w:rPr>
          <w:rFonts w:hint="eastAsia" w:ascii="仿宋" w:hAnsi="仿宋" w:eastAsia="仿宋" w:cs="仿宋"/>
          <w:b/>
          <w:color w:val="auto"/>
          <w:sz w:val="24"/>
          <w:szCs w:val="24"/>
          <w:highlight w:val="none"/>
        </w:rPr>
        <w:t xml:space="preserve">三、技术资料</w:t>
      </w:r>
      <w:bookmarkEnd w:id="288"/>
      <w:r/>
      <w:bookmarkEnd w:id="289"/>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3.1乙方应按</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规定的时间向甲方提供服务（包含与服务相关的货物）的有关技术资料。</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0" w:name="_Toc12840"/>
      <w:r/>
      <w:bookmarkStart w:id="291" w:name="_Toc21013"/>
      <w:r>
        <w:rPr>
          <w:rFonts w:hint="eastAsia" w:ascii="仿宋" w:hAnsi="仿宋" w:eastAsia="仿宋" w:cs="仿宋"/>
          <w:b/>
          <w:color w:val="auto"/>
          <w:sz w:val="24"/>
          <w:szCs w:val="24"/>
          <w:highlight w:val="none"/>
        </w:rPr>
        <w:t xml:space="preserve">四、知识产权</w:t>
      </w:r>
      <w:bookmarkEnd w:id="290"/>
      <w:r/>
      <w:bookmarkEnd w:id="291"/>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仿宋" w:hAnsi="仿宋" w:eastAsia="仿宋" w:cs="仿宋"/>
          <w:color w:val="auto"/>
          <w:sz w:val="24"/>
          <w:szCs w:val="24"/>
          <w:highlight w:val="none"/>
          <w:lang w:val="en-US" w:eastAsia="zh-CN"/>
        </w:rPr>
        <w:t xml:space="preserve">识产权的起诉。一旦出现侵权，由乙方负全部责任。</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2" w:name="_Toc28844"/>
      <w:r/>
      <w:bookmarkStart w:id="293" w:name="_Toc25766"/>
      <w:r>
        <w:rPr>
          <w:rFonts w:hint="eastAsia" w:ascii="仿宋" w:hAnsi="仿宋" w:eastAsia="仿宋" w:cs="仿宋"/>
          <w:b/>
          <w:color w:val="auto"/>
          <w:sz w:val="24"/>
          <w:szCs w:val="24"/>
          <w:highlight w:val="none"/>
        </w:rPr>
        <w:t xml:space="preserve">五、产权担保</w:t>
      </w:r>
      <w:bookmarkEnd w:id="292"/>
      <w:r/>
      <w:bookmarkEnd w:id="293"/>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5.1乙方保证所交付的服务（包含与服务相关的货物）的所有权完全属于乙方且无任何抵押、查封等产权瑕疵。</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4" w:name="_Toc17194"/>
      <w:r/>
      <w:bookmarkStart w:id="295" w:name="_Toc28403"/>
      <w:r>
        <w:rPr>
          <w:rFonts w:hint="eastAsia" w:ascii="仿宋" w:hAnsi="仿宋" w:eastAsia="仿宋" w:cs="仿宋"/>
          <w:b/>
          <w:color w:val="auto"/>
          <w:sz w:val="24"/>
          <w:szCs w:val="24"/>
          <w:highlight w:val="none"/>
        </w:rPr>
        <w:t xml:space="preserve">六、履约保证金</w:t>
      </w:r>
      <w:bookmarkEnd w:id="294"/>
      <w:r/>
      <w:bookmarkEnd w:id="295"/>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6.1乙方交纳人民币_________元作为本合同的履约保证金。</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注：</w:t>
      </w:r>
      <w:r>
        <w:rPr>
          <w:rFonts w:hint="eastAsia" w:ascii="仿宋" w:hAnsi="仿宋" w:eastAsia="仿宋" w:cs="仿宋"/>
          <w:color w:val="auto"/>
          <w:sz w:val="24"/>
          <w:szCs w:val="24"/>
          <w:highlight w:val="none"/>
        </w:rPr>
        <w:t xml:space="preserve">中标单位在签订合同前须向招标人缴纳中标总价的5%的履约保证金，在项目结束验收合格后退还。如中标单位被第三方信用服务机构依据标准规范评定为AA级及以上的政府采购供应商（须在签订采购合同前提供信用管理部门备案的第三方信用报告，且信用报告通过“信用盐城网”可查实），</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将降低履约保证金缴纳金额为中标价的2.5%。</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2确需收取履约保证金的，</w:t>
      </w:r>
      <w:r>
        <w:rPr>
          <w:rFonts w:hint="eastAsia" w:ascii="仿宋" w:hAnsi="仿宋" w:eastAsia="仿宋" w:cs="仿宋"/>
          <w:color w:val="auto"/>
          <w:sz w:val="24"/>
          <w:szCs w:val="24"/>
          <w:highlight w:val="none"/>
          <w:lang w:eastAsia="zh-CN"/>
        </w:rPr>
        <w:t xml:space="preserve">履约保证金的缴纳形式：</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6.2.1</w:t>
      </w:r>
      <w:r>
        <w:rPr>
          <w:rFonts w:hint="eastAsia" w:ascii="仿宋" w:hAnsi="仿宋" w:eastAsia="仿宋" w:cs="仿宋"/>
          <w:color w:val="auto"/>
          <w:sz w:val="24"/>
          <w:szCs w:val="24"/>
          <w:highlight w:val="none"/>
        </w:rPr>
        <w:t xml:space="preserve">供应商应当以支票、汇票、本票或者金融机构、担保机构出具的保函等非现金形式提交</w:t>
      </w:r>
      <w:r>
        <w:rPr>
          <w:rFonts w:hint="eastAsia" w:ascii="仿宋" w:hAnsi="仿宋" w:eastAsia="仿宋" w:cs="仿宋"/>
          <w:color w:val="auto"/>
          <w:sz w:val="24"/>
          <w:szCs w:val="24"/>
          <w:highlight w:val="none"/>
          <w:lang w:eastAsia="zh-CN"/>
        </w:rPr>
        <w:t xml:space="preserve">履约保证金</w:t>
      </w:r>
      <w:r>
        <w:rPr>
          <w:rFonts w:hint="eastAsia" w:ascii="仿宋" w:hAnsi="仿宋" w:eastAsia="仿宋" w:cs="仿宋"/>
          <w:color w:val="auto"/>
          <w:sz w:val="24"/>
          <w:szCs w:val="24"/>
          <w:highlight w:val="none"/>
        </w:rPr>
        <w:t xml:space="preserve">。依据《关于在全省政府采购领域推行电子履约保函（保险）的通知》，鼓励供应商自愿使用</w:t>
      </w:r>
      <w:r>
        <w:rPr>
          <w:rFonts w:hint="eastAsia" w:ascii="仿宋" w:hAnsi="仿宋" w:eastAsia="仿宋" w:cs="仿宋"/>
          <w:color w:val="auto"/>
          <w:sz w:val="24"/>
          <w:szCs w:val="24"/>
          <w:highlight w:val="none"/>
          <w:lang w:eastAsia="zh-CN"/>
        </w:rPr>
        <w:t xml:space="preserve">电子</w:t>
      </w:r>
      <w:r>
        <w:rPr>
          <w:rFonts w:hint="eastAsia" w:ascii="仿宋" w:hAnsi="仿宋" w:eastAsia="仿宋" w:cs="仿宋"/>
          <w:color w:val="auto"/>
          <w:sz w:val="24"/>
          <w:szCs w:val="24"/>
          <w:highlight w:val="none"/>
        </w:rPr>
        <w:t xml:space="preserve">履约保函（保险）代替缴纳履约保证金</w:t>
      </w:r>
      <w:r>
        <w:rPr>
          <w:rFonts w:hint="eastAsia" w:ascii="仿宋" w:hAnsi="仿宋" w:eastAsia="仿宋" w:cs="仿宋"/>
          <w:color w:val="auto"/>
          <w:sz w:val="24"/>
          <w:szCs w:val="24"/>
          <w:highlight w:val="none"/>
          <w:lang w:eastAsia="zh-CN"/>
        </w:rPr>
        <w:t xml:space="preserve">。</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合同履行结束后，甲方应及时退还交纳的履约保证金。</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履约保证金的退还：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.1方式：退还至</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缴纳履约保证金的账户。如为保函，在到期时自行失效。</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.2时间：验收合格且采购人收到发票后30日内。</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.3条件：按合同要求全部履约完成并经采购人验收合格，且采购人收到中标人出具的发票。</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.4不予退还情形：</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除不可抗力情况外，</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出现下列情形之一的，其履约保证金，招标人将视情节决定不予退还或部分不予退还。</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（2）中标人不履行与采购人订立的合同的；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（3）中标人所供货物或服务不符合</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规定要求的；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（4）中标人采取欺骗、弄虚作假方式投标的或与其它</w:t>
      </w:r>
      <w:r>
        <w:rPr>
          <w:rFonts w:hint="eastAsia" w:ascii="仿宋" w:hAnsi="仿宋" w:eastAsia="仿宋" w:cs="仿宋"/>
          <w:color w:val="auto"/>
          <w:sz w:val="24"/>
          <w:szCs w:val="24"/>
          <w:highlight w:val="none"/>
          <w:lang w:eastAsia="zh-CN"/>
        </w:rPr>
        <w:t xml:space="preserve">投标供应商</w:t>
      </w:r>
      <w:r>
        <w:rPr>
          <w:rFonts w:hint="eastAsia" w:ascii="仿宋" w:hAnsi="仿宋" w:eastAsia="仿宋" w:cs="仿宋"/>
          <w:color w:val="auto"/>
          <w:sz w:val="24"/>
          <w:szCs w:val="24"/>
          <w:highlight w:val="none"/>
        </w:rPr>
        <w:t xml:space="preserve">串通投标的；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（5）中标人将合同内容转包、违法分包的；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（6）中标人故意捏造事实或伪造证明材料，进行虚假恶意投诉或反映的。</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6" w:name="_Toc25111"/>
      <w:r/>
      <w:bookmarkStart w:id="297" w:name="_Toc13672"/>
      <w:r>
        <w:rPr>
          <w:rFonts w:hint="eastAsia" w:ascii="仿宋" w:hAnsi="仿宋" w:eastAsia="仿宋" w:cs="仿宋"/>
          <w:b/>
          <w:color w:val="auto"/>
          <w:sz w:val="24"/>
          <w:szCs w:val="24"/>
          <w:highlight w:val="none"/>
        </w:rPr>
        <w:t xml:space="preserve">七、合同转包或分包</w:t>
      </w:r>
      <w:bookmarkEnd w:id="296"/>
      <w:r/>
      <w:bookmarkEnd w:id="297"/>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7.1乙方不得将合同标的转包给他人履行。</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7.2乙方不得将合同标的分包给他人履行。</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7.3乙方如有转包或未经甲方同意的分包行为，甲方有权解除合同。</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298" w:name="_Toc28638"/>
      <w:r/>
      <w:bookmarkStart w:id="299" w:name="_Toc16528"/>
      <w:r>
        <w:rPr>
          <w:rFonts w:hint="eastAsia" w:ascii="仿宋" w:hAnsi="仿宋" w:eastAsia="仿宋" w:cs="仿宋"/>
          <w:b/>
          <w:color w:val="auto"/>
          <w:sz w:val="24"/>
          <w:szCs w:val="24"/>
          <w:highlight w:val="none"/>
        </w:rPr>
        <w:t xml:space="preserve">八、合同款项支付</w:t>
      </w:r>
      <w:bookmarkEnd w:id="298"/>
      <w:r/>
      <w:bookmarkEnd w:id="299"/>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8.1合同款项的支付方式及进度安排</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none"/>
        </w:rPr>
        <w:outlineLvl w:val="0"/>
      </w:pPr>
      <w:r/>
      <w:bookmarkStart w:id="300" w:name="_Toc29529"/>
      <w:r/>
      <w:bookmarkStart w:id="301" w:name="_Toc25065"/>
      <w:r>
        <w:rPr>
          <w:rFonts w:hint="eastAsia" w:ascii="仿宋" w:hAnsi="仿宋" w:eastAsia="仿宋" w:cs="仿宋"/>
          <w:color w:val="auto"/>
          <w:sz w:val="24"/>
          <w:szCs w:val="24"/>
          <w:highlight w:val="none"/>
          <w:u w:val="none"/>
        </w:rPr>
        <w:t xml:space="preserve">(1)合同签订后，甲方自收到预付款发票后的10个工作日内，支付合同总价的30%的作为预付款；</w:t>
      </w:r>
      <w:bookmarkEnd w:id="300"/>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none"/>
        </w:rPr>
        <w:outlineLvl w:val="0"/>
      </w:pPr>
      <w:r/>
      <w:bookmarkStart w:id="302" w:name="_Toc12439"/>
      <w:r>
        <w:rPr>
          <w:rFonts w:hint="eastAsia" w:ascii="仿宋" w:hAnsi="仿宋" w:eastAsia="仿宋" w:cs="仿宋"/>
          <w:color w:val="auto"/>
          <w:sz w:val="24"/>
          <w:szCs w:val="24"/>
          <w:highlight w:val="none"/>
          <w:u w:val="none"/>
        </w:rPr>
        <w:t xml:space="preserve">(2)乙方根据县级主管部门组织专家咨询论证和集中讨论意见进行修改，向甲方提交最终成果，经市县级主管部门审核，待省级片区项目建设奖补资金预拨文件下达后支付合同总价的40%;</w:t>
      </w:r>
      <w:bookmarkEnd w:id="302"/>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u w:val="none"/>
        </w:rPr>
        <w:outlineLvl w:val="0"/>
      </w:pPr>
      <w:r/>
      <w:bookmarkStart w:id="303" w:name="_Toc30593"/>
      <w:r>
        <w:rPr>
          <w:rFonts w:hint="eastAsia" w:ascii="仿宋" w:hAnsi="仿宋" w:eastAsia="仿宋" w:cs="仿宋"/>
          <w:color w:val="auto"/>
          <w:sz w:val="24"/>
          <w:szCs w:val="24"/>
          <w:highlight w:val="none"/>
          <w:u w:val="none"/>
        </w:rPr>
        <w:t xml:space="preserve">(3)余款在滨海县黄河故道风貌片区项目建成并通过省市部门验收合格后一次性付清。</w:t>
      </w:r>
      <w:bookmarkEnd w:id="303"/>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4" w:name="_Toc26756"/>
      <w:r>
        <w:rPr>
          <w:rFonts w:hint="eastAsia" w:ascii="仿宋" w:hAnsi="仿宋" w:eastAsia="仿宋" w:cs="仿宋"/>
          <w:b/>
          <w:color w:val="auto"/>
          <w:sz w:val="24"/>
          <w:szCs w:val="24"/>
          <w:highlight w:val="none"/>
        </w:rPr>
        <w:t xml:space="preserve">九、税费</w:t>
      </w:r>
      <w:bookmarkEnd w:id="301"/>
      <w:r/>
      <w:bookmarkEnd w:id="304"/>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9.1本合同执行中相关的一切税费均由乙方负担。</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5" w:name="_Toc1712"/>
      <w:r/>
      <w:bookmarkStart w:id="306" w:name="_Toc3447"/>
      <w:r>
        <w:rPr>
          <w:rFonts w:hint="eastAsia" w:ascii="仿宋" w:hAnsi="仿宋" w:eastAsia="仿宋" w:cs="仿宋"/>
          <w:b/>
          <w:color w:val="auto"/>
          <w:sz w:val="24"/>
          <w:szCs w:val="24"/>
          <w:highlight w:val="none"/>
        </w:rPr>
        <w:t xml:space="preserve">十、项目验收</w:t>
      </w:r>
      <w:bookmarkEnd w:id="305"/>
      <w:r/>
      <w:bookmarkEnd w:id="306"/>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10.1甲方依法组织履约验收工作。</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10.3对于实际使用人和甲方分离的项目，甲方邀请实际使用人参与验收。</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10.4如有必要，甲方邀请参加本项目的其他供应商或第三方专业机构及专家参与验收，相关意见将作为验收书的参考资料。</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7" w:name="_Toc18970"/>
      <w:r/>
      <w:bookmarkStart w:id="308" w:name="_Toc32346"/>
      <w:r>
        <w:rPr>
          <w:rFonts w:hint="eastAsia" w:ascii="仿宋" w:hAnsi="仿宋" w:eastAsia="仿宋" w:cs="仿宋"/>
          <w:b/>
          <w:color w:val="auto"/>
          <w:sz w:val="24"/>
          <w:szCs w:val="24"/>
          <w:highlight w:val="none"/>
        </w:rPr>
        <w:t xml:space="preserve">十一、违约责任</w:t>
      </w:r>
      <w:bookmarkEnd w:id="307"/>
      <w:r/>
      <w:bookmarkEnd w:id="308"/>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11.1甲方无正当理由拒绝接受乙方提供服务的，甲方向乙方偿付拒绝接受服务合同价款总值</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11.2甲方无故逾期验收和办理合同款项支付手续的,甲方应按逾期付款总额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每日向乙方支付违约金。</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的违约金，如造成甲方损失超过违约金的，超出部分由乙方继续承担赔偿责任。 </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11.4乙方所提供服务的标准不符合合同规定及</w:t>
      </w:r>
      <w:r>
        <w:rPr>
          <w:rFonts w:hint="eastAsia" w:ascii="仿宋" w:hAnsi="仿宋" w:eastAsia="仿宋" w:cs="仿宋"/>
          <w:color w:val="auto"/>
          <w:sz w:val="24"/>
          <w:szCs w:val="24"/>
          <w:highlight w:val="none"/>
          <w:lang w:eastAsia="zh-CN"/>
        </w:rPr>
        <w:t xml:space="preserve">采购文件</w:t>
      </w:r>
      <w:r>
        <w:rPr>
          <w:rFonts w:hint="eastAsia" w:ascii="仿宋" w:hAnsi="仿宋" w:eastAsia="仿宋" w:cs="仿宋"/>
          <w:color w:val="auto"/>
          <w:sz w:val="24"/>
          <w:szCs w:val="24"/>
          <w:highlight w:val="none"/>
        </w:rPr>
        <w:t xml:space="preserve">规定标准的，甲方有权拒绝接受服务，并可单方面解除合同。</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09" w:name="_Toc17231"/>
      <w:r/>
      <w:bookmarkStart w:id="310" w:name="_Toc24785"/>
      <w:r>
        <w:rPr>
          <w:rFonts w:hint="eastAsia" w:ascii="仿宋" w:hAnsi="仿宋" w:eastAsia="仿宋" w:cs="仿宋"/>
          <w:b/>
          <w:color w:val="auto"/>
          <w:sz w:val="24"/>
          <w:szCs w:val="24"/>
          <w:highlight w:val="none"/>
        </w:rPr>
        <w:t xml:space="preserve">十二、不可抗力事件处理</w:t>
      </w:r>
      <w:bookmarkEnd w:id="309"/>
      <w:r/>
      <w:bookmarkEnd w:id="310"/>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12.1在合同有效期内，任何一方因不可抗力事件导致不能履行合同，则合同履行期可延长，其延长期与不可抗力影响 期相同。</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12.2不可抗力事件发生后，应立即通知对方，并寄送有关权威机构出具的证明。</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12.3不可抗力事件延续120天以上，双方应通过友好协商，确定是否继续履行合同。</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11" w:name="_Toc32760"/>
      <w:r/>
      <w:bookmarkStart w:id="312" w:name="_Toc17217"/>
      <w:r>
        <w:rPr>
          <w:rFonts w:hint="eastAsia" w:ascii="仿宋" w:hAnsi="仿宋" w:eastAsia="仿宋" w:cs="仿宋"/>
          <w:b/>
          <w:color w:val="auto"/>
          <w:sz w:val="24"/>
          <w:szCs w:val="24"/>
          <w:highlight w:val="none"/>
        </w:rPr>
        <w:t xml:space="preserve">十三、解决争议的方法</w:t>
      </w:r>
      <w:bookmarkEnd w:id="311"/>
      <w:r/>
      <w:bookmarkEnd w:id="312"/>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13.1双方在签订、履行合同中所发生的一切争议，应通过友好协商解决。如协商不成，由甲方住所地人民法院管辖。</w:t>
      </w:r>
      <w:r/>
    </w:p>
    <w:p>
      <w:pPr>
        <w:pStyle w:val="661"/>
        <w:ind w:left="0" w:firstLine="482"/>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outlineLvl w:val="0"/>
      </w:pPr>
      <w:r/>
      <w:bookmarkStart w:id="313" w:name="_Toc7910"/>
      <w:r/>
      <w:bookmarkStart w:id="314" w:name="_Toc23819"/>
      <w:r>
        <w:rPr>
          <w:rFonts w:hint="eastAsia" w:ascii="仿宋" w:hAnsi="仿宋" w:eastAsia="仿宋" w:cs="仿宋"/>
          <w:b/>
          <w:color w:val="auto"/>
          <w:sz w:val="24"/>
          <w:szCs w:val="24"/>
          <w:highlight w:val="none"/>
        </w:rPr>
        <w:t xml:space="preserve">十四、合同生效及其</w:t>
      </w:r>
      <w:r>
        <w:rPr>
          <w:rFonts w:hint="eastAsia" w:ascii="仿宋" w:hAnsi="仿宋" w:eastAsia="仿宋" w:cs="仿宋"/>
          <w:b/>
          <w:color w:val="auto"/>
          <w:sz w:val="24"/>
          <w:szCs w:val="24"/>
          <w:highlight w:val="none"/>
          <w:lang w:eastAsia="zh-CN"/>
        </w:rPr>
        <w:t xml:space="preserve">他</w:t>
      </w:r>
      <w:bookmarkEnd w:id="313"/>
      <w:r/>
      <w:bookmarkEnd w:id="314"/>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14.1合同经双方法定代表人或授权委托代表人签字并加盖单位公章后生效。</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14.2本合同未尽事宜，遵照《民法典》、《政府采购法》有关条文执行。</w:t>
      </w:r>
      <w:r/>
    </w:p>
    <w:p>
      <w:pPr>
        <w:pStyle w:val="661"/>
        <w:ind w:left="0" w:firstLine="480"/>
        <w:jc w:val="both"/>
        <w:keepLines w:val="0"/>
        <w:keepNext w:val="0"/>
        <w:pageBreakBefore w:val="0"/>
        <w:spacing w:beforeAutospacing="0" w:afterAutospacing="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本合同正本一式两份，具有同等法律效力，甲方、乙方各执一份。</w:t>
      </w:r>
      <w:r/>
    </w:p>
    <w:p>
      <w:pPr>
        <w:pStyle w:val="661"/>
        <w:ind w:left="480" w:hanging="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甲方：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乙方： </w:t>
      </w:r>
      <w:r/>
    </w:p>
    <w:p>
      <w:pPr>
        <w:pStyle w:val="661"/>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地址： </w:t>
      </w:r>
      <w:r/>
    </w:p>
    <w:p>
      <w:pPr>
        <w:pStyle w:val="661"/>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法定代表人或授权代表：</w:t>
      </w:r>
      <w:r/>
    </w:p>
    <w:p>
      <w:pPr>
        <w:pStyle w:val="661"/>
        <w:ind w:firstLine="480"/>
        <w:jc w:val="both"/>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联系电话：          </w:t>
      </w:r>
      <w:r/>
    </w:p>
    <w:p>
      <w:pPr>
        <w:pStyle w:val="661"/>
        <w:jc w:val="right"/>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p>
      <w:pPr>
        <w:pStyle w:val="661"/>
        <w:jc w:val="right"/>
        <w:keepLines w:val="0"/>
        <w:keepNext w:val="0"/>
        <w:pageBreakBefore w:val="0"/>
        <w:spacing w:before="120" w:beforeAutospacing="0" w:after="120" w:afterAutospacing="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签订日期：      年    月   日</w:t>
      </w:r>
      <w:bookmarkStart w:id="315" w:name="_Toc479757211"/>
      <w:r/>
      <w:bookmarkStart w:id="316" w:name="_Toc462564139"/>
      <w:r/>
      <w:bookmarkStart w:id="317" w:name="_Toc20823346"/>
      <w:r/>
      <w:bookmarkStart w:id="318" w:name="_Toc16938590"/>
      <w:r/>
      <w:bookmarkStart w:id="319" w:name="_Toc120614244"/>
      <w:r/>
      <w:bookmarkStart w:id="320" w:name="_Hlt16619350"/>
      <w:r/>
      <w:bookmarkStart w:id="321" w:name="_Hlt16619369"/>
      <w:r/>
      <w:r/>
    </w:p>
    <w:p>
      <w:pPr>
        <w:pStyle w:val="661"/>
        <w:ind w:firstLine="480"/>
        <w:jc w:val="center"/>
        <w:keepLines w:val="0"/>
        <w:keepNext w:val="0"/>
        <w:pageBreakBefore w:val="0"/>
        <w:spacing w:before="120" w:beforeAutospacing="0" w:after="120" w:afterAutospacing="0" w:line="240" w:lineRule="auto"/>
        <w:widowControl w:val="off"/>
        <w:rPr>
          <w:rFonts w:hint="eastAsia" w:ascii="方正小标宋简体" w:hAnsi="方正小标宋简体" w:eastAsia="方正小标宋简体" w:cs="方正小标宋简体"/>
          <w:color w:val="auto"/>
          <w:sz w:val="44"/>
          <w:szCs w:val="44"/>
          <w:highlight w:val="none"/>
        </w:rPr>
        <w:outlineLvl w:val="0"/>
      </w:pPr>
      <w:r>
        <w:rPr>
          <w:rFonts w:hint="eastAsia" w:ascii="黑体" w:hAnsi="宋体" w:eastAsia="黑体" w:cs="黑体"/>
          <w:color w:val="auto"/>
          <w:sz w:val="24"/>
          <w:szCs w:val="24"/>
          <w:highlight w:val="none"/>
        </w:rPr>
        <w:br w:type="page" w:clear="all"/>
      </w:r>
      <w:bookmarkStart w:id="322" w:name="_Toc24312"/>
      <w:r/>
      <w:bookmarkStart w:id="323" w:name="_Toc11181"/>
      <w:r>
        <w:rPr>
          <w:rFonts w:hint="eastAsia" w:ascii="方正小标宋简体" w:hAnsi="方正小标宋简体" w:eastAsia="方正小标宋简体" w:cs="方正小标宋简体"/>
          <w:color w:val="auto"/>
          <w:sz w:val="44"/>
          <w:szCs w:val="44"/>
          <w:highlight w:val="none"/>
        </w:rPr>
        <w:t xml:space="preserve"> 第</w:t>
      </w:r>
      <w:bookmarkEnd w:id="315"/>
      <w:r>
        <w:rPr>
          <w:rFonts w:hint="eastAsia" w:ascii="方正小标宋简体" w:hAnsi="方正小标宋简体" w:eastAsia="方正小标宋简体" w:cs="方正小标宋简体"/>
          <w:color w:val="auto"/>
          <w:sz w:val="44"/>
          <w:szCs w:val="44"/>
          <w:highlight w:val="none"/>
        </w:rPr>
        <w:t xml:space="preserve">四章 采购需求</w:t>
      </w:r>
      <w:bookmarkEnd w:id="316"/>
      <w:r/>
      <w:bookmarkEnd w:id="317"/>
      <w:r/>
      <w:bookmarkEnd w:id="318"/>
      <w:r/>
      <w:bookmarkEnd w:id="319"/>
      <w:r/>
      <w:bookmarkEnd w:id="320"/>
      <w:r/>
      <w:bookmarkEnd w:id="322"/>
      <w:r/>
      <w:bookmarkEnd w:id="323"/>
      <w:r/>
      <w:r/>
    </w:p>
    <w:p>
      <w:pPr>
        <w:ind w:left="0" w:firstLine="482"/>
        <w:jc w:val="center"/>
        <w:keepLines w:val="0"/>
        <w:keepNext w:val="0"/>
        <w:pageBreakBefore w:val="0"/>
        <w:spacing w:before="0" w:after="0" w:line="520" w:lineRule="exact"/>
        <w:rPr>
          <w:rFonts w:hint="eastAsia" w:ascii="仿宋" w:hAnsi="仿宋" w:eastAsia="仿宋" w:cs="仿宋"/>
          <w:b/>
          <w:bCs/>
          <w:color w:val="auto"/>
          <w:sz w:val="24"/>
          <w:szCs w:val="24"/>
          <w:highlight w:val="none"/>
          <w:lang w:val="en-US" w:eastAsia="zh-CN" w:bidi="ar-SA"/>
        </w:rPr>
        <w:outlineLvl w:val="1"/>
      </w:pPr>
      <w:r/>
      <w:bookmarkStart w:id="324" w:name="_Toc3556"/>
      <w:r/>
      <w:bookmarkStart w:id="325" w:name="_Toc4301"/>
      <w:r/>
      <w:bookmarkStart w:id="326" w:name="_Toc120614281"/>
      <w:r>
        <w:rPr>
          <w:rFonts w:hint="eastAsia" w:ascii="仿宋" w:hAnsi="仿宋" w:eastAsia="仿宋" w:cs="仿宋"/>
          <w:b/>
          <w:bCs/>
          <w:color w:val="auto"/>
          <w:sz w:val="24"/>
          <w:szCs w:val="24"/>
          <w:highlight w:val="none"/>
          <w:lang w:val="en-US" w:eastAsia="zh-CN" w:bidi="ar-SA"/>
        </w:rPr>
        <w:t xml:space="preserve">项目属性:服务类项目</w:t>
      </w:r>
      <w:bookmarkEnd w:id="324"/>
      <w:r/>
      <w:r/>
    </w:p>
    <w:p>
      <w:pPr>
        <w:numPr>
          <w:ilvl w:val="0"/>
          <w:numId w:val="0"/>
        </w:numPr>
        <w:ind w:left="0" w:firstLine="482"/>
        <w:jc w:val="both"/>
        <w:keepLines w:val="0"/>
        <w:keepNext w:val="0"/>
        <w:pageBreakBefore w:val="0"/>
        <w:spacing w:before="0" w:after="0" w:line="520" w:lineRule="exact"/>
        <w:widowControl w:val="off"/>
        <w:rPr>
          <w:rFonts w:hint="eastAsia" w:ascii="仿宋" w:hAnsi="仿宋" w:eastAsia="仿宋" w:cs="仿宋"/>
          <w:b/>
          <w:bCs/>
          <w:color w:val="auto"/>
          <w:sz w:val="24"/>
          <w:szCs w:val="24"/>
          <w:highlight w:val="none"/>
          <w:lang w:val="en-US" w:eastAsia="zh-CN" w:bidi="ar-SA"/>
        </w:rPr>
        <w:outlineLvl w:val="1"/>
      </w:pPr>
      <w:r/>
      <w:bookmarkStart w:id="327" w:name="_Toc15836"/>
      <w:r>
        <w:rPr>
          <w:rFonts w:hint="eastAsia" w:ascii="仿宋" w:hAnsi="仿宋" w:eastAsia="仿宋" w:cs="仿宋"/>
          <w:b/>
          <w:bCs/>
          <w:color w:val="auto"/>
          <w:sz w:val="24"/>
          <w:szCs w:val="24"/>
          <w:highlight w:val="none"/>
          <w:lang w:val="en-US" w:eastAsia="zh-CN" w:bidi="ar-SA"/>
        </w:rPr>
        <w:t xml:space="preserve">一、项目基本信息</w:t>
      </w:r>
      <w:bookmarkEnd w:id="327"/>
      <w:r/>
      <w:r/>
    </w:p>
    <w:p>
      <w:pPr>
        <w:numPr>
          <w:ilvl w:val="0"/>
          <w:numId w:val="0"/>
        </w:numPr>
        <w:ind w:left="0" w:firstLine="482"/>
        <w:jc w:val="both"/>
        <w:keepLines w:val="0"/>
        <w:keepNext w:val="0"/>
        <w:pageBreakBefore w:val="0"/>
        <w:spacing w:before="0" w:after="0" w:line="520" w:lineRule="exact"/>
        <w:widowControl w:val="off"/>
        <w:rPr>
          <w:rFonts w:hint="eastAsia" w:ascii="仿宋" w:hAnsi="仿宋" w:eastAsia="仿宋" w:cs="仿宋"/>
          <w:b/>
          <w:bCs/>
          <w:color w:val="auto"/>
          <w:sz w:val="24"/>
          <w:szCs w:val="24"/>
          <w:highlight w:val="none"/>
          <w:lang w:val="en-US" w:eastAsia="zh-CN" w:bidi="ar-SA"/>
        </w:rPr>
        <w:outlineLvl w:val="1"/>
      </w:pPr>
      <w:r/>
      <w:bookmarkStart w:id="328" w:name="_Toc10059"/>
      <w:r>
        <w:rPr>
          <w:rFonts w:hint="eastAsia" w:ascii="仿宋" w:hAnsi="仿宋" w:eastAsia="仿宋" w:cs="仿宋"/>
          <w:b/>
          <w:bCs/>
          <w:color w:val="auto"/>
          <w:sz w:val="24"/>
          <w:szCs w:val="24"/>
          <w:highlight w:val="none"/>
          <w:lang w:val="en-US" w:eastAsia="zh-CN" w:bidi="ar-SA"/>
        </w:rPr>
        <w:t xml:space="preserve">项目名称：滨海县黄河故道风貌带片区规划编制项目</w:t>
      </w:r>
      <w:bookmarkEnd w:id="328"/>
      <w:r/>
      <w:r/>
    </w:p>
    <w:p>
      <w:pPr>
        <w:numPr>
          <w:ilvl w:val="0"/>
          <w:numId w:val="0"/>
        </w:numPr>
        <w:ind w:left="0" w:firstLine="482"/>
        <w:jc w:val="both"/>
        <w:keepLines w:val="0"/>
        <w:keepNext w:val="0"/>
        <w:pageBreakBefore w:val="0"/>
        <w:spacing w:before="0" w:after="0" w:line="520" w:lineRule="exact"/>
        <w:widowControl w:val="off"/>
        <w:rPr>
          <w:rFonts w:hint="eastAsia" w:ascii="仿宋" w:hAnsi="仿宋" w:eastAsia="仿宋" w:cs="仿宋"/>
          <w:b/>
          <w:bCs/>
          <w:color w:val="auto"/>
          <w:sz w:val="24"/>
          <w:szCs w:val="24"/>
          <w:highlight w:val="none"/>
          <w:lang w:val="en-US" w:eastAsia="zh-CN" w:bidi="ar-SA"/>
        </w:rPr>
        <w:outlineLvl w:val="1"/>
      </w:pPr>
      <w:r/>
      <w:bookmarkStart w:id="329" w:name="_Toc18281"/>
      <w:r>
        <w:rPr>
          <w:rFonts w:hint="eastAsia" w:ascii="仿宋" w:hAnsi="仿宋" w:eastAsia="仿宋" w:cs="仿宋"/>
          <w:b/>
          <w:bCs/>
          <w:color w:val="000000"/>
          <w:sz w:val="24"/>
          <w:szCs w:val="24"/>
          <w:highlight w:val="none"/>
          <w:lang w:val="en-US" w:eastAsia="zh-CN" w:bidi="ar-SA"/>
        </w:rPr>
        <w:t xml:space="preserve">项目编号：</w:t>
      </w:r>
      <w:bookmarkEnd w:id="329"/>
      <w:r>
        <w:rPr>
          <w:rFonts w:hint="eastAsia" w:ascii="仿宋" w:hAnsi="仿宋" w:eastAsia="仿宋" w:cs="仿宋"/>
          <w:b/>
          <w:bCs/>
          <w:color w:val="auto"/>
          <w:sz w:val="24"/>
          <w:szCs w:val="24"/>
          <w:highlight w:val="none"/>
          <w:lang w:val="en-US" w:eastAsia="zh-CN" w:bidi="ar-SA"/>
        </w:rPr>
        <w:t xml:space="preserve">JSZC-320922-JSJS-G2025-0008</w:t>
      </w:r>
      <w:r/>
    </w:p>
    <w:p>
      <w:pPr>
        <w:numPr>
          <w:ilvl w:val="0"/>
          <w:numId w:val="0"/>
        </w:numPr>
        <w:ind w:left="0" w:firstLine="482"/>
        <w:jc w:val="both"/>
        <w:keepLines w:val="0"/>
        <w:keepNext w:val="0"/>
        <w:pageBreakBefore w:val="0"/>
        <w:spacing w:before="0" w:after="0" w:line="520" w:lineRule="exact"/>
        <w:widowControl w:val="off"/>
        <w:rPr>
          <w:rFonts w:hint="eastAsia" w:ascii="仿宋" w:hAnsi="仿宋" w:eastAsia="仿宋" w:cs="仿宋"/>
          <w:b/>
          <w:bCs/>
          <w:color w:val="auto"/>
          <w:sz w:val="24"/>
          <w:szCs w:val="24"/>
          <w:highlight w:val="none"/>
          <w:lang w:val="en-US" w:eastAsia="zh-CN" w:bidi="ar-SA"/>
        </w:rPr>
        <w:outlineLvl w:val="1"/>
      </w:pPr>
      <w:r/>
      <w:bookmarkStart w:id="330" w:name="_Toc14463"/>
      <w:r>
        <w:rPr>
          <w:rFonts w:hint="eastAsia" w:ascii="仿宋" w:hAnsi="仿宋" w:eastAsia="仿宋" w:cs="仿宋"/>
          <w:b/>
          <w:bCs/>
          <w:color w:val="auto"/>
          <w:sz w:val="24"/>
          <w:szCs w:val="24"/>
          <w:lang w:val="en-US" w:eastAsia="zh-CN" w:bidi="ar-SA"/>
        </w:rPr>
        <w:t xml:space="preserve">二、</w:t>
      </w:r>
      <w:r>
        <w:rPr>
          <w:rFonts w:hint="eastAsia" w:ascii="仿宋" w:hAnsi="仿宋" w:eastAsia="仿宋" w:cs="仿宋"/>
          <w:b/>
          <w:bCs/>
          <w:color w:val="auto"/>
          <w:sz w:val="24"/>
          <w:szCs w:val="24"/>
          <w:highlight w:val="none"/>
          <w:lang w:val="en-US" w:eastAsia="zh-CN" w:bidi="ar-SA"/>
        </w:rPr>
        <w:t xml:space="preserve">项目概况</w:t>
      </w:r>
      <w:bookmarkEnd w:id="330"/>
      <w:r/>
      <w:r/>
    </w:p>
    <w:p>
      <w:pPr>
        <w:ind w:left="0" w:firstLine="480"/>
        <w:keepLines w:val="0"/>
        <w:keepNext w:val="0"/>
        <w:pageBreakBefore w:val="0"/>
        <w:spacing w:line="520" w:lineRule="exact"/>
        <w:widowControl w:val="off"/>
        <w:rPr>
          <w:rFonts w:hint="eastAsia" w:ascii="仿宋" w:hAnsi="仿宋" w:eastAsia="仿宋" w:cs="仿宋"/>
          <w:b w:val="0"/>
          <w:bCs w:val="0"/>
          <w:sz w:val="24"/>
          <w:szCs w:val="24"/>
          <w:lang w:eastAsia="zh-CN"/>
        </w:rPr>
      </w:pPr>
      <w:r>
        <w:rPr>
          <w:rFonts w:hint="eastAsia" w:ascii="仿宋" w:hAnsi="仿宋" w:eastAsia="仿宋" w:cs="仿宋"/>
          <w:b w:val="0"/>
          <w:bCs w:val="0"/>
          <w:color w:val="auto"/>
          <w:sz w:val="24"/>
          <w:szCs w:val="24"/>
          <w:lang w:val="en-US" w:eastAsia="zh-CN"/>
        </w:rPr>
        <w:t xml:space="preserve">为深入</w:t>
      </w:r>
      <w:r>
        <w:rPr>
          <w:rFonts w:hint="eastAsia" w:ascii="仿宋" w:hAnsi="仿宋" w:eastAsia="仿宋" w:cs="仿宋"/>
          <w:b w:val="0"/>
          <w:bCs w:val="0"/>
          <w:color w:val="auto"/>
          <w:sz w:val="24"/>
          <w:szCs w:val="24"/>
          <w:lang w:eastAsia="zh-CN"/>
        </w:rPr>
        <w:t xml:space="preserve">贯彻落实习近平总书记关于浙江 </w:t>
      </w:r>
      <w:r>
        <w:rPr>
          <w:rFonts w:hint="eastAsia" w:ascii="仿宋" w:hAnsi="仿宋" w:eastAsia="仿宋" w:cs="仿宋"/>
          <w:b w:val="0"/>
          <w:bCs w:val="0"/>
          <w:sz w:val="24"/>
          <w:szCs w:val="24"/>
          <w:lang w:eastAsia="zh-CN"/>
        </w:rPr>
        <w:t xml:space="preserve">“千万工程” 重要指示批示精神为核心，</w:t>
      </w:r>
      <w:r>
        <w:rPr>
          <w:rFonts w:hint="eastAsia" w:ascii="仿宋" w:hAnsi="仿宋" w:eastAsia="仿宋" w:cs="仿宋"/>
          <w:b w:val="0"/>
          <w:bCs w:val="0"/>
          <w:sz w:val="24"/>
          <w:szCs w:val="24"/>
          <w:lang w:val="en-US" w:eastAsia="zh-CN"/>
        </w:rPr>
        <w:t xml:space="preserve">依据</w:t>
      </w:r>
      <w:r>
        <w:rPr>
          <w:rFonts w:hint="eastAsia" w:ascii="仿宋" w:hAnsi="仿宋" w:eastAsia="仿宋" w:cs="仿宋"/>
          <w:b w:val="0"/>
          <w:bCs w:val="0"/>
          <w:sz w:val="24"/>
          <w:szCs w:val="24"/>
        </w:rPr>
        <w:t xml:space="preserve">省委农办《江苏省宜居宜业和美乡村建设指南》制定宜居宜业和美乡村建设评价指标体系等相关要求，推进村庄环境集中连片整治提升，立足不同区位资源优势，一体推进自然要素和道路、村庄、景区、园区等生产生活要素整合更新。</w:t>
      </w:r>
      <w:r>
        <w:rPr>
          <w:rFonts w:hint="eastAsia" w:ascii="仿宋" w:hAnsi="仿宋" w:eastAsia="仿宋" w:cs="仿宋"/>
          <w:b w:val="0"/>
          <w:bCs w:val="0"/>
          <w:sz w:val="24"/>
          <w:szCs w:val="24"/>
          <w:lang w:eastAsia="zh-CN"/>
        </w:rPr>
        <w:t xml:space="preserve">推进乡村集中连片整治提升，编制宜居宜业和美乡村片区规划，具体范围如下：</w:t>
      </w:r>
      <w:r/>
    </w:p>
    <w:p>
      <w:pPr>
        <w:ind w:left="0" w:firstLine="480"/>
        <w:keepLines w:val="0"/>
        <w:keepNext w:val="0"/>
        <w:pageBreakBefore w:val="0"/>
        <w:spacing w:line="520" w:lineRule="exact"/>
        <w:widowControl w:val="off"/>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选取滨海县</w:t>
      </w:r>
      <w:r>
        <w:rPr>
          <w:rFonts w:hint="eastAsia" w:ascii="仿宋" w:hAnsi="仿宋" w:eastAsia="仿宋" w:cs="仿宋"/>
          <w:b w:val="0"/>
          <w:bCs w:val="0"/>
          <w:sz w:val="24"/>
          <w:szCs w:val="24"/>
        </w:rPr>
        <w:t xml:space="preserve">现代农业产业园关南村、陈李村、大关村、同心村</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lang w:val="en-US" w:eastAsia="zh-CN"/>
        </w:rPr>
        <w:t xml:space="preserve">大套村、套稍村</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rPr>
        <w:t xml:space="preserve">坎北街道</w:t>
      </w:r>
      <w:r>
        <w:rPr>
          <w:rFonts w:hint="eastAsia" w:ascii="仿宋" w:hAnsi="仿宋" w:eastAsia="仿宋" w:cs="仿宋"/>
          <w:b w:val="0"/>
          <w:bCs w:val="0"/>
          <w:sz w:val="24"/>
          <w:szCs w:val="24"/>
          <w:lang w:val="en-US" w:eastAsia="zh-CN"/>
        </w:rPr>
        <w:t xml:space="preserve">西坎</w:t>
      </w:r>
      <w:r>
        <w:rPr>
          <w:rFonts w:hint="eastAsia" w:ascii="仿宋" w:hAnsi="仿宋" w:eastAsia="仿宋" w:cs="仿宋"/>
          <w:b w:val="0"/>
          <w:bCs w:val="0"/>
          <w:sz w:val="24"/>
          <w:szCs w:val="24"/>
        </w:rPr>
        <w:t xml:space="preserve">村、</w:t>
      </w:r>
      <w:r>
        <w:rPr>
          <w:rFonts w:hint="eastAsia" w:ascii="仿宋" w:hAnsi="仿宋" w:eastAsia="仿宋" w:cs="仿宋"/>
          <w:b w:val="0"/>
          <w:bCs w:val="0"/>
          <w:sz w:val="24"/>
          <w:szCs w:val="24"/>
          <w:lang w:val="en-US" w:eastAsia="zh-CN"/>
        </w:rPr>
        <w:t xml:space="preserve">肖港</w:t>
      </w:r>
      <w:r>
        <w:rPr>
          <w:rFonts w:hint="eastAsia" w:ascii="仿宋" w:hAnsi="仿宋" w:eastAsia="仿宋" w:cs="仿宋"/>
          <w:b w:val="0"/>
          <w:bCs w:val="0"/>
          <w:sz w:val="24"/>
          <w:szCs w:val="24"/>
        </w:rPr>
        <w:t xml:space="preserve">村</w:t>
      </w:r>
      <w:r>
        <w:rPr>
          <w:rFonts w:hint="eastAsia" w:ascii="仿宋" w:hAnsi="仿宋" w:eastAsia="仿宋" w:cs="仿宋"/>
          <w:b w:val="0"/>
          <w:bCs w:val="0"/>
          <w:sz w:val="24"/>
          <w:szCs w:val="24"/>
          <w:lang w:val="en-US" w:eastAsia="zh-CN"/>
        </w:rPr>
        <w:t xml:space="preserve">等8个行政村编制宜居宜业和美乡村片区规划，需要以已创成的宜居宜业和美乡村统筹规划（现代农业产业园夹堆村、岭山村，坎北街道长法村、吕滩村、果林村）（具体数据以农业农村部门提供为准）。</w:t>
      </w:r>
      <w:r/>
    </w:p>
    <w:p>
      <w:pPr>
        <w:numPr>
          <w:ilvl w:val="0"/>
          <w:numId w:val="0"/>
        </w:num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lang w:val="en-US" w:eastAsia="zh-CN" w:bidi="ar-SA"/>
        </w:rPr>
        <w:outlineLvl w:val="1"/>
      </w:pPr>
      <w:r/>
      <w:bookmarkStart w:id="331" w:name="_Toc31960"/>
      <w:r>
        <w:rPr>
          <w:rFonts w:hint="eastAsia" w:ascii="仿宋" w:hAnsi="仿宋" w:eastAsia="仿宋" w:cs="仿宋"/>
          <w:b/>
          <w:bCs/>
          <w:sz w:val="24"/>
          <w:szCs w:val="24"/>
          <w:lang w:val="en-US" w:eastAsia="zh-CN" w:bidi="ar-SA"/>
        </w:rPr>
        <w:t xml:space="preserve">三、项目背景</w:t>
      </w:r>
      <w:bookmarkEnd w:id="331"/>
      <w:r/>
      <w:r/>
    </w:p>
    <w:p>
      <w:pPr>
        <w:numPr>
          <w:ilvl w:val="0"/>
          <w:numId w:val="0"/>
        </w:numPr>
        <w:ind w:left="0" w:firstLine="480"/>
        <w:keepLines w:val="0"/>
        <w:keepNext w:val="0"/>
        <w:pageBreakBefore w:val="0"/>
        <w:spacing w:line="52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1.政策背景</w:t>
      </w:r>
      <w:r/>
    </w:p>
    <w:p>
      <w:pPr>
        <w:numPr>
          <w:ilvl w:val="0"/>
          <w:numId w:val="0"/>
        </w:numPr>
        <w:ind w:left="0" w:firstLine="480"/>
        <w:keepLines w:val="0"/>
        <w:keepNext w:val="0"/>
        <w:pageBreakBefore w:val="0"/>
        <w:spacing w:line="52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为深入贯彻习近平总书记关于浙江 “千万工程” 的重要指示批示精神，江苏省委省政府出台《关于学习运用 “千万工程” 经验加快建设新时代鱼米之乡的意见》（2023 年 9 月 26 日），将宜居宜业和美乡村建设作为全面推进乡村振兴、建设新时代鱼米之乡的重要抓手，建立多部门统筹推进机制，并纳入高质量发展</w:t>
      </w:r>
      <w:r>
        <w:rPr>
          <w:rFonts w:hint="eastAsia" w:ascii="仿宋" w:hAnsi="仿宋" w:eastAsia="仿宋" w:cs="仿宋"/>
          <w:b w:val="0"/>
          <w:bCs w:val="0"/>
          <w:sz w:val="24"/>
          <w:szCs w:val="24"/>
          <w:lang w:val="en-US" w:eastAsia="zh-CN"/>
        </w:rPr>
        <w:t xml:space="preserve">综合考核</w:t>
      </w:r>
      <w:r>
        <w:rPr>
          <w:rFonts w:hint="eastAsia" w:ascii="仿宋" w:hAnsi="仿宋" w:eastAsia="仿宋" w:cs="仿宋"/>
          <w:b w:val="0"/>
          <w:bCs w:val="0"/>
          <w:sz w:val="24"/>
          <w:szCs w:val="24"/>
        </w:rPr>
        <w:t xml:space="preserve">及乡村振兴战略实绩考核。</w:t>
      </w:r>
      <w:r/>
    </w:p>
    <w:p>
      <w:pPr>
        <w:numPr>
          <w:ilvl w:val="0"/>
          <w:numId w:val="0"/>
        </w:numPr>
        <w:ind w:left="0" w:firstLine="480"/>
        <w:keepLines w:val="0"/>
        <w:keepNext w:val="0"/>
        <w:pageBreakBefore w:val="0"/>
        <w:spacing w:line="52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2.发展趋势</w:t>
      </w:r>
      <w:r/>
    </w:p>
    <w:p>
      <w:pPr>
        <w:numPr>
          <w:ilvl w:val="0"/>
          <w:numId w:val="0"/>
        </w:numPr>
        <w:ind w:left="0" w:firstLine="480"/>
        <w:keepLines w:val="0"/>
        <w:keepNext w:val="0"/>
        <w:pageBreakBefore w:val="0"/>
        <w:spacing w:line="52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乡村振兴战略的推进已实现从“点状振兴”到“由点及面、集中连片”的重要转变。在《江苏省宜居宜业和美乡村建设指南（试行）》《江苏省宜居宜业和美乡村建设绩效评价办法（试行）》（苏委农发〔2023〕12 号）以及《关于建立学习运用 “千万工程” 经验加快建设新时代鱼米之乡工作推进机制的通知》（苏委农发〔2023〕13 号）等文件中明确提出，鼓励开展跨域连片整治提升工作</w:t>
      </w:r>
      <w:r>
        <w:rPr>
          <w:rFonts w:hint="eastAsia" w:ascii="仿宋" w:hAnsi="仿宋" w:eastAsia="仿宋" w:cs="仿宋"/>
          <w:b w:val="0"/>
          <w:bCs w:val="0"/>
          <w:sz w:val="24"/>
          <w:szCs w:val="24"/>
          <w:lang w:eastAsia="zh-CN"/>
        </w:rPr>
        <w:t xml:space="preserve">，</w:t>
      </w:r>
      <w:r>
        <w:rPr>
          <w:rFonts w:hint="eastAsia" w:ascii="仿宋" w:hAnsi="仿宋" w:eastAsia="仿宋" w:cs="仿宋"/>
          <w:b w:val="0"/>
          <w:bCs w:val="0"/>
          <w:sz w:val="24"/>
          <w:szCs w:val="24"/>
        </w:rPr>
        <w:t xml:space="preserve">以科学规划为重要牵引，对15个以上连片村庄的基础设施及公共服务联建共享情况进行评价，通过这样的方式，积极探索要素整合更新的有效路径。</w:t>
      </w:r>
      <w:r/>
    </w:p>
    <w:p>
      <w:pPr>
        <w:numPr>
          <w:ilvl w:val="0"/>
          <w:numId w:val="0"/>
        </w:numPr>
        <w:ind w:left="0" w:firstLine="480"/>
        <w:keepLines w:val="0"/>
        <w:keepNext w:val="0"/>
        <w:pageBreakBefore w:val="0"/>
        <w:spacing w:line="520" w:lineRule="exact"/>
        <w:widowControl w:val="off"/>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3.项目目的</w:t>
      </w:r>
      <w:r/>
    </w:p>
    <w:p>
      <w:pPr>
        <w:numPr>
          <w:ilvl w:val="0"/>
          <w:numId w:val="0"/>
        </w:numPr>
        <w:ind w:left="0" w:firstLine="480"/>
        <w:keepLines w:val="0"/>
        <w:keepNext w:val="0"/>
        <w:pageBreakBefore w:val="0"/>
        <w:spacing w:line="520" w:lineRule="exact"/>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rPr>
        <w:t xml:space="preserve">为深入贯彻落实习近平</w:t>
      </w:r>
      <w:r>
        <w:rPr>
          <w:rFonts w:hint="eastAsia" w:ascii="仿宋" w:hAnsi="仿宋" w:eastAsia="仿宋" w:cs="仿宋"/>
          <w:b w:val="0"/>
          <w:bCs w:val="0"/>
          <w:sz w:val="24"/>
          <w:szCs w:val="24"/>
          <w:highlight w:val="none"/>
        </w:rPr>
        <w:t xml:space="preserve">总书记关于浙江“千万工程” 的重要指示批示精神，</w:t>
      </w:r>
      <w:r>
        <w:rPr>
          <w:rFonts w:hint="eastAsia" w:ascii="仿宋" w:hAnsi="仿宋" w:eastAsia="仿宋" w:cs="仿宋"/>
          <w:b w:val="0"/>
          <w:bCs w:val="0"/>
          <w:sz w:val="24"/>
          <w:szCs w:val="24"/>
          <w:highlight w:val="none"/>
          <w:lang w:val="en-US" w:eastAsia="zh-CN"/>
        </w:rPr>
        <w:t xml:space="preserve">特组织</w:t>
      </w:r>
      <w:r>
        <w:rPr>
          <w:rFonts w:hint="eastAsia" w:ascii="仿宋" w:hAnsi="仿宋" w:eastAsia="仿宋" w:cs="仿宋"/>
          <w:b w:val="0"/>
          <w:bCs w:val="0"/>
          <w:sz w:val="24"/>
          <w:szCs w:val="24"/>
          <w:highlight w:val="none"/>
        </w:rPr>
        <w:t xml:space="preserve">编制《</w:t>
      </w:r>
      <w:r>
        <w:rPr>
          <w:rFonts w:hint="eastAsia" w:ascii="仿宋" w:hAnsi="仿宋" w:eastAsia="仿宋" w:cs="仿宋"/>
          <w:b w:val="0"/>
          <w:bCs w:val="0"/>
          <w:sz w:val="24"/>
          <w:szCs w:val="24"/>
          <w:highlight w:val="none"/>
          <w:lang w:val="en-US" w:eastAsia="zh-CN"/>
        </w:rPr>
        <w:t xml:space="preserve">滨海县黄河故道风貌带</w:t>
      </w:r>
      <w:r>
        <w:rPr>
          <w:rFonts w:hint="eastAsia" w:ascii="仿宋" w:hAnsi="仿宋" w:eastAsia="仿宋" w:cs="仿宋"/>
          <w:b w:val="0"/>
          <w:bCs w:val="0"/>
          <w:sz w:val="24"/>
          <w:szCs w:val="24"/>
          <w:highlight w:val="none"/>
        </w:rPr>
        <w:t xml:space="preserve">片区规划》（以下简称《规划》），引领</w:t>
      </w:r>
      <w:r>
        <w:rPr>
          <w:rFonts w:hint="eastAsia" w:ascii="仿宋" w:hAnsi="仿宋" w:eastAsia="仿宋" w:cs="仿宋"/>
          <w:b w:val="0"/>
          <w:bCs w:val="0"/>
          <w:sz w:val="24"/>
          <w:szCs w:val="24"/>
          <w:highlight w:val="none"/>
          <w:lang w:val="en-US" w:eastAsia="zh-CN"/>
        </w:rPr>
        <w:t xml:space="preserve">滨海县</w:t>
      </w:r>
      <w:r>
        <w:rPr>
          <w:rFonts w:hint="eastAsia" w:ascii="仿宋" w:hAnsi="仿宋" w:eastAsia="仿宋" w:cs="仿宋"/>
          <w:b w:val="0"/>
          <w:bCs w:val="0"/>
          <w:sz w:val="24"/>
          <w:szCs w:val="24"/>
          <w:highlight w:val="none"/>
        </w:rPr>
        <w:t xml:space="preserve">宜居宜业和美乡村建设深入实施。</w:t>
      </w:r>
      <w:r/>
    </w:p>
    <w:p>
      <w:pPr>
        <w:numPr>
          <w:ilvl w:val="0"/>
          <w:numId w:val="0"/>
        </w:num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lang w:val="en-US" w:eastAsia="zh-CN" w:bidi="ar-SA"/>
        </w:rPr>
        <w:outlineLvl w:val="1"/>
      </w:pPr>
      <w:r/>
      <w:bookmarkStart w:id="332" w:name="_Toc1330"/>
      <w:r>
        <w:rPr>
          <w:rFonts w:hint="eastAsia" w:ascii="仿宋" w:hAnsi="仿宋" w:eastAsia="仿宋" w:cs="仿宋"/>
          <w:b/>
          <w:bCs/>
          <w:sz w:val="24"/>
          <w:szCs w:val="24"/>
          <w:highlight w:val="none"/>
          <w:lang w:val="en-US" w:eastAsia="zh-CN" w:bidi="ar-SA"/>
        </w:rPr>
        <w:t xml:space="preserve">四、规划依据</w:t>
      </w:r>
      <w:bookmarkEnd w:id="332"/>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《中共江苏省委 江苏省人民政府关于学习运用 “千万工程”经验加快建设新时代鱼米之乡的意见》（2023年9月26日）</w:t>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《江苏省宜居宜业和美乡村建设指南（试行）》《江苏省宜居宜业和美乡村建设绩效评价办法（试行）》（苏委农发〔2023〕12 号）</w:t>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《关于建立学习运用 “千万工程” 经验加快建设新时代鱼米之乡工作推进机制的通知》（苏委农发〔2023〕13 号）</w:t>
      </w:r>
      <w:r/>
    </w:p>
    <w:p>
      <w:pPr>
        <w:numPr>
          <w:ilvl w:val="1"/>
          <w:numId w:val="0"/>
        </w:numPr>
        <w:ind w:left="0" w:firstLine="480"/>
        <w:jc w:val="left"/>
        <w:keepLines w:val="0"/>
        <w:keepNext w:val="0"/>
        <w:pageBreakBefore w:val="0"/>
        <w:spacing w:before="0" w:after="0" w:line="52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4.关于印发《江苏省宜居宜业和美乡村片区建设指导意见》的通知（苏委农办[2024]13号）</w:t>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其他省、市、区出台的相关要求</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1"/>
      </w:pPr>
      <w:r/>
      <w:bookmarkStart w:id="333" w:name="_Toc22374"/>
      <w:r>
        <w:rPr>
          <w:rFonts w:hint="eastAsia" w:ascii="仿宋" w:hAnsi="仿宋" w:eastAsia="仿宋" w:cs="仿宋"/>
          <w:b/>
          <w:bCs/>
          <w:sz w:val="24"/>
          <w:szCs w:val="24"/>
          <w:highlight w:val="none"/>
        </w:rPr>
        <w:t xml:space="preserve">五、规划范围与期限</w:t>
      </w:r>
      <w:bookmarkEnd w:id="333"/>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规划范围：滨海县现代农业产业园关南村、陈李村、大关村、同心村、大套村、套稍村，坎北街道西坎村、肖港村等8个行政村编制宜居宜业和美乡村片区规划，需要以已创成的宜居宜业和美乡村统筹规划（现代农业产业园夹堆村、岭山村，坎北街道长法村、吕滩村、果林村）（具体以农业农村部门数据为准）</w:t>
      </w:r>
      <w:r/>
    </w:p>
    <w:p>
      <w:pPr>
        <w:numPr>
          <w:ilvl w:val="1"/>
          <w:numId w:val="0"/>
        </w:numPr>
        <w:ind w:left="0" w:firstLine="480"/>
        <w:jc w:val="left"/>
        <w:keepLines w:val="0"/>
        <w:keepNext w:val="0"/>
        <w:pageBreakBefore w:val="0"/>
        <w:spacing w:before="0" w:after="0" w:line="52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规划期限：45日历天（合同签订后的45日历天内完成全部服务内容）内提交经评审通过的成果资料，并提供不少于2年的跟踪服务</w:t>
      </w:r>
      <w:r>
        <w:rPr>
          <w:rFonts w:hint="eastAsia" w:ascii="仿宋" w:hAnsi="仿宋" w:eastAsia="仿宋" w:cs="仿宋"/>
          <w:color w:val="auto"/>
          <w:sz w:val="24"/>
          <w:szCs w:val="24"/>
          <w:highlight w:val="none"/>
        </w:rPr>
        <w:t xml:space="preserve">。</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六、主要内容与具体要求</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2"/>
      </w:pPr>
      <w:r/>
      <w:bookmarkStart w:id="334" w:name="_Toc7345"/>
      <w:r>
        <w:rPr>
          <w:rFonts w:hint="eastAsia" w:ascii="仿宋" w:hAnsi="仿宋" w:eastAsia="仿宋" w:cs="仿宋"/>
          <w:b/>
          <w:bCs/>
          <w:sz w:val="24"/>
          <w:szCs w:val="24"/>
          <w:highlight w:val="none"/>
        </w:rPr>
        <w:t xml:space="preserve">1. 资源评估与潜力研判</w:t>
      </w:r>
      <w:bookmarkEnd w:id="334"/>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梳理片区生态、产业、文化、旅游等资源，评估现状优势、不足、机遇与挑战，明确发展潜力。</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打破镇村行政边界，统筹整合空间格局，构建功能协同的地域共同体</w:t>
      </w:r>
      <w:r>
        <w:rPr>
          <w:rFonts w:hint="eastAsia" w:ascii="仿宋" w:hAnsi="仿宋" w:eastAsia="仿宋" w:cs="仿宋"/>
          <w:sz w:val="24"/>
          <w:szCs w:val="24"/>
          <w:highlight w:val="none"/>
          <w:lang w:eastAsia="zh-CN"/>
        </w:rPr>
        <w:t xml:space="preserve">。</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2"/>
      </w:pPr>
      <w:r/>
      <w:bookmarkStart w:id="335" w:name="_Toc24593"/>
      <w:r>
        <w:rPr>
          <w:rFonts w:hint="eastAsia" w:ascii="仿宋" w:hAnsi="仿宋" w:eastAsia="仿宋" w:cs="仿宋"/>
          <w:b/>
          <w:bCs/>
          <w:sz w:val="24"/>
          <w:szCs w:val="24"/>
          <w:highlight w:val="none"/>
        </w:rPr>
        <w:t xml:space="preserve">2. 定位与路径规划</w:t>
      </w:r>
      <w:bookmarkEnd w:id="335"/>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明确片区发展定位：结合资源禀赋，确定特色发展方向，融入产业链（高效农业、特色手工业、休闲康养等），打造差异化品牌。</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优化空间与产业布局：</w:t>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分区分类引领，组合差异化村庄单元，延伸产业链，实现 “以大带小、以强带弱、以特带平”；</w:t>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推动一二三产融合，培育特色主导产业，完善农业生产经营体系，促进产业集群发展。</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解决 “五类重构”：空间、产权、治理、产业和业态、价值重构，通过国土空间整治、资源统筹等实现连片发展。</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2"/>
      </w:pPr>
      <w:r/>
      <w:bookmarkStart w:id="336" w:name="_Toc18269"/>
      <w:r>
        <w:rPr>
          <w:rFonts w:hint="eastAsia" w:ascii="仿宋" w:hAnsi="仿宋" w:eastAsia="仿宋" w:cs="仿宋"/>
          <w:b/>
          <w:bCs/>
          <w:sz w:val="24"/>
          <w:szCs w:val="24"/>
          <w:highlight w:val="none"/>
        </w:rPr>
        <w:t xml:space="preserve">3. 设施与环境建设</w:t>
      </w:r>
      <w:bookmarkEnd w:id="336"/>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基础设施与公共服务：构建特色乡村生活圈，推进水、电、路、网等设施联建共享，完善医疗、养老、教育等公共服务，实现污水、垃圾全治理及饮用水安全。</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交通体系：以区域旅游干线为主线、“四好农村路” 为支线，规划慢行线路，配套乡野驿站、充电桩等，保障通达性与游赏性。</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人居环境与风貌：</w:t>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改善农房（安全、绿色、美观，保留乡土特色），整治危房；</w:t>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保护生态肌理，优化滨水、田园等景观，设计串联路径与建筑界面；</w:t>
      </w:r>
      <w:r/>
    </w:p>
    <w:p>
      <w:pPr>
        <w:numPr>
          <w:ilvl w:val="1"/>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完善标识系统（植入品牌 logo），营造 “人在村中，村在田中” 的乡野公共空间。</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2"/>
      </w:pPr>
      <w:r/>
      <w:bookmarkStart w:id="337" w:name="_Toc31651"/>
      <w:r>
        <w:rPr>
          <w:rFonts w:hint="eastAsia" w:ascii="仿宋" w:hAnsi="仿宋" w:eastAsia="仿宋" w:cs="仿宋"/>
          <w:b/>
          <w:bCs/>
          <w:sz w:val="24"/>
          <w:szCs w:val="24"/>
          <w:highlight w:val="none"/>
        </w:rPr>
        <w:t xml:space="preserve">4. 实施与治理</w:t>
      </w:r>
      <w:bookmarkEnd w:id="337"/>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建立动态项目库，明确近期行动计划，协调多部门（党委农办、发改、自然资源等）推进连片整治。</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探索协同治理机制：引导村民、乡贤参与规划建设，建立跨域会商机制，推动治理资源共享。</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1"/>
      </w:pPr>
      <w:r/>
      <w:bookmarkStart w:id="338" w:name="_Toc25860"/>
      <w:r>
        <w:rPr>
          <w:rFonts w:hint="eastAsia" w:ascii="仿宋" w:hAnsi="仿宋" w:eastAsia="仿宋" w:cs="仿宋"/>
          <w:b/>
          <w:bCs/>
          <w:sz w:val="24"/>
          <w:szCs w:val="24"/>
          <w:highlight w:val="none"/>
        </w:rPr>
        <w:t xml:space="preserve">七、关注重点</w:t>
      </w:r>
      <w:bookmarkEnd w:id="338"/>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bCs/>
          <w:color w:val="auto"/>
          <w:sz w:val="24"/>
          <w:szCs w:val="24"/>
          <w:highlight w:val="none"/>
        </w:rPr>
        <w:t xml:space="preserve">片区发展定位</w:t>
      </w:r>
      <w:r>
        <w:rPr>
          <w:rFonts w:hint="eastAsia" w:ascii="仿宋" w:hAnsi="仿宋" w:eastAsia="仿宋" w:cs="仿宋"/>
          <w:color w:val="auto"/>
          <w:sz w:val="24"/>
          <w:szCs w:val="24"/>
          <w:highlight w:val="none"/>
        </w:rPr>
        <w:t xml:space="preserve">：系统性识别产业类型，明确发展策略与方向，彰显特色主题。</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
          <w:bCs/>
          <w:color w:val="auto"/>
          <w:sz w:val="24"/>
          <w:szCs w:val="24"/>
          <w:highlight w:val="none"/>
        </w:rPr>
        <w:t xml:space="preserve">产业空间联动</w:t>
      </w:r>
      <w:r>
        <w:rPr>
          <w:rFonts w:hint="eastAsia" w:ascii="仿宋" w:hAnsi="仿宋" w:eastAsia="仿宋" w:cs="仿宋"/>
          <w:color w:val="auto"/>
          <w:sz w:val="24"/>
          <w:szCs w:val="24"/>
          <w:highlight w:val="none"/>
        </w:rPr>
        <w:t xml:space="preserve">：结合村庄差异谋划功能定位，推动生态与经济价值转化，促进共同富裕。</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b/>
          <w:bCs/>
          <w:color w:val="auto"/>
          <w:sz w:val="24"/>
          <w:szCs w:val="24"/>
          <w:highlight w:val="none"/>
        </w:rPr>
        <w:t xml:space="preserve">设施配套</w:t>
      </w:r>
      <w:r>
        <w:rPr>
          <w:rFonts w:hint="eastAsia" w:ascii="仿宋" w:hAnsi="仿宋" w:eastAsia="仿宋" w:cs="仿宋"/>
          <w:color w:val="auto"/>
          <w:sz w:val="24"/>
          <w:szCs w:val="24"/>
          <w:highlight w:val="none"/>
        </w:rPr>
        <w:t xml:space="preserve">：均等化布局公共设施，兼顾特色需求，提高使用效率。</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bCs/>
          <w:color w:val="auto"/>
          <w:sz w:val="24"/>
          <w:szCs w:val="24"/>
          <w:highlight w:val="none"/>
        </w:rPr>
        <w:t xml:space="preserve">交通体系</w:t>
      </w:r>
      <w:r>
        <w:rPr>
          <w:rFonts w:hint="eastAsia" w:ascii="仿宋" w:hAnsi="仿宋" w:eastAsia="仿宋" w:cs="仿宋"/>
          <w:color w:val="auto"/>
          <w:sz w:val="24"/>
          <w:szCs w:val="24"/>
          <w:highlight w:val="none"/>
        </w:rPr>
        <w:t xml:space="preserve">：串联片区空间，保障通达性与绿色低碳出行。</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b/>
          <w:bCs/>
          <w:color w:val="auto"/>
          <w:sz w:val="24"/>
          <w:szCs w:val="24"/>
          <w:highlight w:val="none"/>
        </w:rPr>
        <w:t xml:space="preserve">人居环境</w:t>
      </w:r>
      <w:r>
        <w:rPr>
          <w:rFonts w:hint="eastAsia" w:ascii="仿宋" w:hAnsi="仿宋" w:eastAsia="仿宋" w:cs="仿宋"/>
          <w:color w:val="auto"/>
          <w:sz w:val="24"/>
          <w:szCs w:val="24"/>
          <w:highlight w:val="none"/>
        </w:rPr>
        <w:t xml:space="preserve">：以示范村为核心带动周边提升，改善农房与村庄环境。</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b/>
          <w:bCs/>
          <w:color w:val="auto"/>
          <w:sz w:val="24"/>
          <w:szCs w:val="24"/>
          <w:highlight w:val="none"/>
        </w:rPr>
        <w:t xml:space="preserve">乡村风貌</w:t>
      </w:r>
      <w:r>
        <w:rPr>
          <w:rFonts w:hint="eastAsia" w:ascii="仿宋" w:hAnsi="仿宋" w:eastAsia="仿宋" w:cs="仿宋"/>
          <w:color w:val="auto"/>
          <w:sz w:val="24"/>
          <w:szCs w:val="24"/>
          <w:highlight w:val="none"/>
        </w:rPr>
        <w:t xml:space="preserve">：注重乡野景观设计、创意串联路径、建筑界面优化、指向系统塑造及公共空间营造。</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1"/>
      </w:pPr>
      <w:r/>
      <w:bookmarkStart w:id="339" w:name="_Toc2101"/>
      <w:r>
        <w:rPr>
          <w:rFonts w:hint="eastAsia" w:ascii="仿宋" w:hAnsi="仿宋" w:eastAsia="仿宋" w:cs="仿宋"/>
          <w:b/>
          <w:bCs/>
          <w:sz w:val="24"/>
          <w:szCs w:val="24"/>
          <w:highlight w:val="none"/>
        </w:rPr>
        <w:t xml:space="preserve">八、设计内容</w:t>
      </w:r>
      <w:bookmarkEnd w:id="339"/>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2"/>
      </w:pPr>
      <w:r/>
      <w:bookmarkStart w:id="340" w:name="_Toc27348"/>
      <w:r>
        <w:rPr>
          <w:rFonts w:hint="eastAsia" w:ascii="仿宋" w:hAnsi="仿宋" w:eastAsia="仿宋" w:cs="仿宋"/>
          <w:b/>
          <w:bCs/>
          <w:sz w:val="24"/>
          <w:szCs w:val="24"/>
          <w:highlight w:val="none"/>
        </w:rPr>
        <w:t xml:space="preserve">1. 宏观层面（统筹策划）</w:t>
      </w:r>
      <w:bookmarkEnd w:id="340"/>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梳理发展路径与定位，结合交通区位、资源禀赋形成特色乡村品牌。</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明确发展目标：围绕文化复兴、生态织补、设施完善等，构建特色化、精品化、宜居化乡村。</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推动产业融合：确定主导产业，提出优化思路（征求部门及村民意见）。</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2"/>
      </w:pPr>
      <w:r/>
      <w:bookmarkStart w:id="341" w:name="_Toc24530"/>
      <w:r>
        <w:rPr>
          <w:rFonts w:hint="eastAsia" w:ascii="仿宋" w:hAnsi="仿宋" w:eastAsia="仿宋" w:cs="仿宋"/>
          <w:b/>
          <w:bCs/>
          <w:sz w:val="24"/>
          <w:szCs w:val="24"/>
          <w:highlight w:val="none"/>
        </w:rPr>
        <w:t xml:space="preserve">2. 微观层面（建设指导）</w:t>
      </w:r>
      <w:bookmarkEnd w:id="341"/>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以 “千万工程” 经验为指导，按 “十有” 标准（有规划、有产业、有特色等）培育宜居宜业和美乡村。</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优化 “三生” 空间布局，推动基础设施提档升级。</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盐都区补充：开展和美乡村创建设计，含村域项目布局、村容村貌提升等。</w:t>
      </w:r>
      <w:r/>
    </w:p>
    <w:p>
      <w:p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rPr>
        <w:outlineLvl w:val="1"/>
      </w:pPr>
      <w:r/>
      <w:bookmarkStart w:id="342" w:name="_Toc26104"/>
      <w:r>
        <w:rPr>
          <w:rFonts w:hint="eastAsia" w:ascii="仿宋" w:hAnsi="仿宋" w:eastAsia="仿宋" w:cs="仿宋"/>
          <w:b/>
          <w:bCs/>
          <w:sz w:val="24"/>
          <w:szCs w:val="24"/>
          <w:highlight w:val="none"/>
        </w:rPr>
        <w:t xml:space="preserve">九、成果内容要求</w:t>
      </w:r>
      <w:bookmarkEnd w:id="342"/>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（1）成果构成</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编制较为系统全面的村庄规划，包括现状分析、发展目标、用地布局和用途管控、国土空间综合整治和生态修复、产业空间布局、设施配套布局、农村居民点（规划发展村庄）村庄设计内容，明确村庄平面布局、建筑设计引导、村容村貌提升、村庄配套设施等规划建设要求等内容。涉及需成果汇交的，还要形成满足汇交要求的数据库。</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包括内容如下：</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村域规划：现状分析；发展目标；用地布局和用途管控；耕地和永久基本农田保护；国土空间综合整治和生态修复；产业空间布局；历史文化保护传承和风貌引导；公共服务设施规划；道路交通规划；公用设施规划；防灾减灾规划。</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村庄设计：村庄平面布局；村容村貌提升；村庄配套设施；建筑设计引导。</w:t>
      </w:r>
      <w:r/>
    </w:p>
    <w:p>
      <w:pPr>
        <w:numPr>
          <w:ilvl w:val="0"/>
          <w:numId w:val="0"/>
        </w:numPr>
        <w:ind w:left="0" w:firstLine="480"/>
        <w:jc w:val="left"/>
        <w:keepLines w:val="0"/>
        <w:keepNext w:val="0"/>
        <w:pageBreakBefore w:val="0"/>
        <w:spacing w:before="0" w:after="0" w:line="52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近期行动：近期实施计划</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（2）成果形式</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规划成果原则上应包含文本、图件、数据库以及必要的附件等内容的文本10套。上述所有文字说明和图件内容的电子备份文件1套，文本为 DOC/PPT格式文件，图件为DWG/JPG 格式文件。</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规划成果要简明扼要、通俗易懂，既要便于基层规划管理使用，也要便于村民理解接受和监督实施。</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（3）规划文本</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包括规划总则、规划内容、附表等。附表包括规划指标表、土地用途结构调整表、项目清单、近期实施项目库（表）等。</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一 总则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1、规划范围及期限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2、规划依据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3、上级规划主要要求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4、现状分析主要结论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二 目标定位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1、发展目标与定位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2、规划指标表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3、自然村庄分类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三 用地布局和用途管控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1、农林用地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2、自然保护与保留用地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3、建设用地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四 公共服务和公用设施规划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1、道路交通规划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2、公共服务设施规划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*3、公用设施规划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*4、防灾减灾规划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*五 国土空间综合整治和生态修复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1、农用地整治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2、建设用地整治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3、生态保护与修复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*六 产业空间布局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1、产业发展策略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2、产业空间布局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3、集体经营性建设用地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*七 历史文化保护传承和风貌引导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1、历史文化名村（传统村落）保护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2、乡村风貌引导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*八 村庄设计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1、村庄平面布局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2、建筑风貌引导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3、村容村貌提升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4、村庄配套设施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*九 近期实施计划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（4）规划图件</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括但不限于以下图件：区位图；土地利用现状图；土地利用规划图；村域空间管控图；建设项目分布图；道路交通规划图；国土空间综合整治和生态修复规划图；产业空间布局规划图；历史文化保护和风貌引导图；公共服务设施规划图；公用设施规划图；防灾减灾规划图；规划管控图则；村庄平面图；村庄效果图；农房引导（推荐）图 ；村庄环境设计图；村庄配套设施规划图；近期实施项目图。</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土地利用现状图：以第三次全国国土调查及其最新年度国土变更调查成果为基础，按照用地用海分类指南，表达村域内现状各类用地的分布情况，以及主要道路、河流、村名、相邻关系、公共服务和公用设施位置等要素信息。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土地利用规划图：以上级规划的国土空间规划分区图或土地利用规划图为基础，按照用地用海分类指南，表达村域各类土地规划用途，以及主要控制线、各类设施布局和相关要素信息。地类表达深度根据实际管理需要确定。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村域空间管控图：以土地利用规划图为基础，表达永久基本农田、生态保护红线、城镇开发边界、历史文化保护线、重要基础设施及廊道控制范围等各类控制线分布，明确村庄建设边界和相关底线管控要求。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（4）建设项目分布图：以土地利用规划图为底图，叠加村庄分类信息，标注新增建设用地范围、建设项目位置和名称，主要用于指导村庄项目建设和成果汇交省级校核。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（5）数据库：包括规划图件的栅格数据和矢量数据等，并应与文本、图件“图数一致。数据库应符合成果汇交入库要求（具体要求另行制定）。 </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（6）附件：对规划文本和图件进行必要的补充说明，应包括村委会审议意见和村民会议或村民代表会议讨论通过的决议、专家论证意见、规划公示及相关意见采纳情况说明等。 </w:t>
      </w:r>
      <w:r/>
    </w:p>
    <w:p>
      <w:pPr>
        <w:numPr>
          <w:ilvl w:val="0"/>
          <w:numId w:val="0"/>
        </w:numPr>
        <w:ind w:left="0" w:firstLine="480"/>
        <w:jc w:val="left"/>
        <w:keepLines w:val="0"/>
        <w:keepNext w:val="0"/>
        <w:pageBreakBefore w:val="0"/>
        <w:spacing w:before="0" w:after="0" w:line="52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（7）规划公开成果：村庄规划批复后，要形成规划公开成果，在村务公开栏进行长期公布。规划公开成果应包括土地利用规划图、主要规划要求，以及必要的规划示意图等。</w:t>
      </w:r>
      <w:r/>
    </w:p>
    <w:p>
      <w:pPr>
        <w:numPr>
          <w:ilvl w:val="0"/>
          <w:numId w:val="0"/>
        </w:numPr>
        <w:ind w:left="0" w:firstLine="482"/>
        <w:jc w:val="left"/>
        <w:keepLines w:val="0"/>
        <w:keepNext w:val="0"/>
        <w:pageBreakBefore w:val="0"/>
        <w:spacing w:before="0" w:after="0" w:line="52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九、其他要求</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1.成果需符合国家行业规范及限额设计要求；</w:t>
      </w:r>
      <w:r/>
    </w:p>
    <w:p>
      <w:pPr>
        <w:numPr>
          <w:ilvl w:val="0"/>
          <w:numId w:val="0"/>
        </w:numPr>
        <w:ind w:left="0" w:firstLine="480"/>
        <w:jc w:val="left"/>
        <w:keepLines w:val="0"/>
        <w:keepNext w:val="0"/>
        <w:pageBreakBefore w:val="0"/>
        <w:spacing w:before="0" w:after="0" w:line="520" w:lineRule="exact"/>
        <w:widowControl w:val="off"/>
        <w:rPr>
          <w:rFonts w:hint="eastAsia"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en-US" w:eastAsia="zh-CN"/>
        </w:rPr>
        <w:t xml:space="preserve">2.中标供应商根据省厅要求和前期专家论证，片区项目清单中拟使用专项资金的项目内容要细化到村</w:t>
      </w:r>
      <w:r>
        <w:rPr>
          <w:rFonts w:hint="eastAsia" w:ascii="仿宋" w:hAnsi="仿宋" w:eastAsia="仿宋" w:cs="仿宋"/>
          <w:color w:val="ff0000"/>
          <w:sz w:val="24"/>
          <w:szCs w:val="24"/>
          <w:highlight w:val="none"/>
          <w:lang w:val="en-US" w:eastAsia="zh-CN"/>
        </w:rPr>
        <w:t xml:space="preserve">，落到具体行政村中自然村的具体地点，要有深度设计，每个村都要有设计方案。发展规划中相关内容要与要建设方案保持一致。中标供应商的编制规划，与后期具体项目建设要有效衔接，确保项目能落地，有可操作性。若省市部门对片区规划有最新要求，中标供应商根据要求及时作出合理相应调整。在本次项目实施直至项目建成验收结束期间，及时全面提供省定要求的片区编制的各类资料。规划成果原则上应包含文本以及必要的附件等内容的文本10套。上述所有文本和图件内容的电子备份文件1套，文本为 PPT或PDF格式文件，图件为DWG或JPG 格式文件。</w:t>
      </w:r>
      <w:r/>
    </w:p>
    <w:p>
      <w:pPr>
        <w:numPr>
          <w:ilvl w:val="0"/>
          <w:numId w:val="0"/>
        </w:numPr>
        <w:ind w:left="0" w:firstLine="480"/>
        <w:jc w:val="left"/>
        <w:keepLines w:val="0"/>
        <w:keepNext w:val="0"/>
        <w:pageBreakBefore w:val="0"/>
        <w:spacing w:before="0" w:after="0" w:line="52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b w:val="0"/>
          <w:bCs w:val="0"/>
          <w:color w:val="000000"/>
          <w:sz w:val="24"/>
          <w:szCs w:val="24"/>
          <w:highlight w:val="none"/>
          <w:lang w:val="en-US" w:eastAsia="zh-CN" w:bidi="ar-SA"/>
        </w:rPr>
        <w:t xml:space="preserve">验收标准：按行业通行标准、采购文件要求和乙方投标文件的承诺（不低于国家相关标准）。</w:t>
      </w:r>
      <w:r/>
    </w:p>
    <w:p>
      <w:pPr>
        <w:ind w:left="0" w:firstLine="482"/>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rPr>
        <w:outlineLvl w:val="0"/>
      </w:pPr>
      <w:r/>
      <w:bookmarkStart w:id="343" w:name="_Toc12569"/>
      <w:r>
        <w:rPr>
          <w:rFonts w:hint="eastAsia" w:ascii="仿宋" w:hAnsi="仿宋" w:eastAsia="仿宋" w:cs="仿宋"/>
          <w:b/>
          <w:bCs/>
          <w:color w:val="000000"/>
          <w:sz w:val="24"/>
          <w:szCs w:val="24"/>
          <w:highlight w:val="none"/>
          <w:lang w:val="en-US" w:eastAsia="zh-CN"/>
        </w:rPr>
        <w:t xml:space="preserve">十、服务保障</w:t>
      </w:r>
      <w:bookmarkEnd w:id="343"/>
      <w:r/>
      <w:r/>
    </w:p>
    <w:p>
      <w:pPr>
        <w:ind w:left="0" w:firstLine="480"/>
        <w:jc w:val="both"/>
        <w:keepLines w:val="0"/>
        <w:keepNext w:val="0"/>
        <w:pageBreakBefore w:val="0"/>
        <w:spacing w:line="520" w:lineRule="exact"/>
        <w:widowControl w:val="off"/>
        <w:rPr>
          <w:rFonts w:hint="eastAsia" w:ascii="仿宋" w:hAnsi="仿宋" w:eastAsia="仿宋" w:cs="仿宋"/>
          <w:b w:val="0"/>
          <w:color w:val="000000"/>
          <w:spacing w:val="0"/>
          <w:sz w:val="24"/>
          <w:szCs w:val="24"/>
          <w:highlight w:val="none"/>
          <w:lang w:val="en-US" w:eastAsia="zh-CN" w:bidi="ar-SA"/>
        </w:rPr>
      </w:pPr>
      <w:r>
        <w:rPr>
          <w:rFonts w:hint="eastAsia" w:ascii="仿宋" w:hAnsi="仿宋" w:eastAsia="仿宋" w:cs="仿宋"/>
          <w:b w:val="0"/>
          <w:color w:val="000000"/>
          <w:spacing w:val="0"/>
          <w:sz w:val="24"/>
          <w:szCs w:val="24"/>
          <w:highlight w:val="none"/>
          <w:lang w:val="en-US" w:eastAsia="zh-CN" w:bidi="ar-SA"/>
        </w:rPr>
        <w:t xml:space="preserve">1、供应商应对照采购文件要求，说明所提供已对采购人的需求做出了实质性的响应，或申明与需求的偏差和例外。</w:t>
      </w:r>
      <w:r/>
    </w:p>
    <w:p>
      <w:pPr>
        <w:ind w:left="0" w:firstLine="480"/>
        <w:jc w:val="both"/>
        <w:keepLines w:val="0"/>
        <w:keepNext w:val="0"/>
        <w:pageBreakBefore w:val="0"/>
        <w:spacing w:line="520" w:lineRule="exact"/>
        <w:widowControl w:val="off"/>
        <w:rPr>
          <w:rFonts w:hint="eastAsia" w:ascii="仿宋" w:hAnsi="仿宋" w:eastAsia="仿宋" w:cs="仿宋"/>
          <w:b w:val="0"/>
          <w:color w:val="000000"/>
          <w:spacing w:val="0"/>
          <w:sz w:val="24"/>
          <w:szCs w:val="24"/>
          <w:highlight w:val="none"/>
          <w:lang w:val="en-US" w:eastAsia="zh-CN" w:bidi="ar-SA"/>
        </w:rPr>
      </w:pPr>
      <w:r>
        <w:rPr>
          <w:rFonts w:hint="eastAsia" w:ascii="仿宋" w:hAnsi="仿宋" w:eastAsia="仿宋" w:cs="仿宋"/>
          <w:b w:val="0"/>
          <w:color w:val="000000"/>
          <w:spacing w:val="0"/>
          <w:sz w:val="24"/>
          <w:szCs w:val="24"/>
          <w:highlight w:val="none"/>
          <w:lang w:val="en-US" w:eastAsia="zh-CN" w:bidi="ar-SA"/>
        </w:rPr>
        <w:t xml:space="preserve">2、供应商可以在投标文件中提出不同的服务标准和保障承诺，使评标委员会相信替代服务相同于或优于原需求，对于具体参数要求的指标，供应商必须提供具体参数值。</w:t>
      </w:r>
      <w:r/>
    </w:p>
    <w:p>
      <w:pPr>
        <w:ind w:left="0" w:firstLine="480"/>
        <w:jc w:val="both"/>
        <w:keepLines w:val="0"/>
        <w:keepNext w:val="0"/>
        <w:pageBreakBefore w:val="0"/>
        <w:spacing w:line="520" w:lineRule="exact"/>
        <w:widowControl w:val="off"/>
        <w:rPr>
          <w:rFonts w:hint="eastAsia" w:ascii="仿宋" w:hAnsi="仿宋" w:eastAsia="仿宋" w:cs="仿宋"/>
          <w:b w:val="0"/>
          <w:color w:val="000000"/>
          <w:spacing w:val="0"/>
          <w:sz w:val="24"/>
          <w:szCs w:val="24"/>
          <w:highlight w:val="none"/>
          <w:lang w:val="en-US" w:eastAsia="zh-CN" w:bidi="ar-SA"/>
        </w:rPr>
      </w:pPr>
      <w:r>
        <w:rPr>
          <w:rFonts w:hint="eastAsia" w:ascii="仿宋" w:hAnsi="仿宋" w:eastAsia="仿宋" w:cs="仿宋"/>
          <w:b w:val="0"/>
          <w:color w:val="000000"/>
          <w:spacing w:val="0"/>
          <w:sz w:val="24"/>
          <w:szCs w:val="24"/>
          <w:highlight w:val="none"/>
          <w:lang w:val="en-US" w:eastAsia="zh-CN" w:bidi="ar-SA"/>
        </w:rPr>
        <w:t xml:space="preserve">3、如果发生因供应商工作失职造成安全事故或其他财产损失和人身伤害，均由供应商承担相关经济和法律责任。</w:t>
      </w:r>
      <w:bookmarkStart w:id="344" w:name="_Toc28510"/>
      <w:r/>
      <w:bookmarkStart w:id="345" w:name="_Toc28983"/>
      <w:r/>
      <w:bookmarkStart w:id="346" w:name="_Toc48143584"/>
      <w:r/>
      <w:bookmarkEnd w:id="344"/>
      <w:bookmarkEnd w:id="345"/>
      <w:bookmarkEnd w:id="346"/>
      <w:r/>
    </w:p>
    <w:p>
      <w:pPr>
        <w:ind w:left="0" w:firstLine="482"/>
        <w:keepLines w:val="0"/>
        <w:keepNext w:val="0"/>
        <w:pageBreakBefore w:val="0"/>
        <w:spacing w:line="520" w:lineRule="exact"/>
        <w:widowControl w:val="off"/>
        <w:rPr>
          <w:rFonts w:hint="eastAsia" w:ascii="仿宋" w:hAnsi="仿宋" w:eastAsia="仿宋" w:cs="仿宋"/>
          <w:b/>
          <w:bCs/>
          <w:color w:val="000000"/>
          <w:sz w:val="24"/>
          <w:szCs w:val="24"/>
          <w:highlight w:val="none"/>
          <w:lang w:val="en-US" w:eastAsia="zh-CN"/>
        </w:rPr>
        <w:outlineLvl w:val="0"/>
      </w:pPr>
      <w:r/>
      <w:bookmarkStart w:id="347" w:name="_Toc24142"/>
      <w:r/>
      <w:bookmarkStart w:id="348" w:name="_Toc20520"/>
      <w:r>
        <w:rPr>
          <w:rFonts w:hint="eastAsia" w:ascii="仿宋" w:hAnsi="仿宋" w:eastAsia="仿宋" w:cs="仿宋"/>
          <w:b/>
          <w:bCs/>
          <w:color w:val="000000"/>
          <w:sz w:val="24"/>
          <w:szCs w:val="24"/>
          <w:highlight w:val="none"/>
          <w:lang w:val="en-US" w:eastAsia="zh-CN"/>
        </w:rPr>
        <w:t xml:space="preserve">十一、补充说明</w:t>
      </w:r>
      <w:bookmarkEnd w:id="347"/>
      <w:r/>
      <w:bookmarkEnd w:id="348"/>
      <w:r/>
      <w:r/>
    </w:p>
    <w:p>
      <w:pPr>
        <w:ind w:left="0" w:firstLine="480"/>
        <w:jc w:val="left"/>
        <w:keepLines w:val="0"/>
        <w:keepNext w:val="0"/>
        <w:pageBreakBefore w:val="0"/>
        <w:spacing w:before="0" w:after="0" w:line="520" w:lineRule="exact"/>
        <w:widowControl w:val="off"/>
        <w:rPr>
          <w:rFonts w:hint="eastAsia" w:ascii="仿宋" w:hAnsi="仿宋" w:eastAsia="仿宋" w:cs="仿宋"/>
          <w:color w:val="000000"/>
          <w:sz w:val="24"/>
          <w:szCs w:val="24"/>
          <w:highlight w:val="none"/>
          <w:lang w:val="en-US" w:eastAsia="zh-CN" w:bidi="ar-SA"/>
        </w:rPr>
        <w:outlineLvl w:val="9"/>
      </w:pPr>
      <w:r/>
      <w:bookmarkStart w:id="349" w:name="_Toc18027"/>
      <w:r/>
      <w:bookmarkStart w:id="350" w:name="_Toc18832"/>
      <w:r/>
      <w:bookmarkStart w:id="351" w:name="_Toc24608"/>
      <w:r/>
      <w:bookmarkStart w:id="352" w:name="_Toc16232"/>
      <w:r>
        <w:rPr>
          <w:rFonts w:hint="eastAsia" w:ascii="仿宋" w:hAnsi="仿宋" w:eastAsia="仿宋" w:cs="仿宋"/>
          <w:color w:val="000000"/>
          <w:sz w:val="24"/>
          <w:szCs w:val="24"/>
          <w:highlight w:val="none"/>
          <w:lang w:val="en-US" w:eastAsia="zh-CN" w:bidi="ar-SA"/>
        </w:rPr>
        <w:t xml:space="preserve">投标供应商应当充分利用自身服务水平、技术力量、市场资源等为本项目投标采用合适的硬</w:t>
      </w:r>
      <w:r>
        <w:rPr>
          <w:rFonts w:hint="eastAsia" w:ascii="仿宋" w:hAnsi="仿宋" w:eastAsia="仿宋" w:cs="仿宋"/>
          <w:color w:val="000000"/>
          <w:sz w:val="24"/>
          <w:szCs w:val="24"/>
          <w:highlight w:val="none"/>
          <w:lang w:val="en-US" w:eastAsia="zh-CN" w:bidi="ar-SA"/>
        </w:rPr>
        <w:t xml:space="preserve">件设备、软件系统等，并提供合理科学的建设方案。投标供应商不应当因市场信息了解缺失、自身实力不足、自身市场资源不够丰富等自身因素而向采购人或采购代理机构提出任何不合理的请求（诉求、要求），如因投标供应商不合理的请求（诉求、要求）或不合理质疑或恶意质疑或恶意投诉等恶劣行为严重扰乱政府采购活动秩序的，采购人有权按照相关法律规定或条例对之进行处罚并上报相关主管部门予以严惩。因前述行为造成恶劣影响、经济损失、进度损失等各类损失或重大恶劣影响的，采购人有权将之列入《失信供应商黑名单》并追偿各类损失直至移交司法机关处置。</w:t>
      </w:r>
      <w:bookmarkEnd w:id="349"/>
      <w:r/>
      <w:bookmarkEnd w:id="350"/>
      <w:r/>
      <w:bookmarkEnd w:id="351"/>
      <w:r/>
      <w:bookmarkEnd w:id="352"/>
      <w:r>
        <w:rPr>
          <w:rFonts w:hint="eastAsia" w:ascii="仿宋" w:hAnsi="仿宋" w:eastAsia="仿宋" w:cs="仿宋"/>
          <w:color w:val="000000"/>
          <w:sz w:val="24"/>
          <w:szCs w:val="24"/>
          <w:highlight w:val="none"/>
          <w:lang w:val="en-US" w:eastAsia="zh-CN" w:bidi="ar-SA"/>
        </w:rPr>
        <w:t xml:space="preserve"> </w:t>
      </w:r>
      <w:r/>
    </w:p>
    <w:p>
      <w:pPr>
        <w:numPr>
          <w:ilvl w:val="0"/>
          <w:numId w:val="2"/>
        </w:numPr>
        <w:ind w:left="0" w:firstLine="482"/>
        <w:keepLines w:val="0"/>
        <w:keepNext w:val="0"/>
        <w:pageBreakBefore w:val="0"/>
        <w:spacing w:line="520" w:lineRule="exact"/>
        <w:widowControl w:val="off"/>
        <w:rPr>
          <w:rFonts w:hint="eastAsia" w:ascii="仿宋" w:hAnsi="仿宋" w:eastAsia="仿宋" w:cs="仿宋"/>
          <w:b/>
          <w:bCs/>
          <w:color w:val="000000"/>
          <w:sz w:val="24"/>
          <w:szCs w:val="24"/>
          <w:highlight w:val="none"/>
        </w:rPr>
        <w:outlineLvl w:val="9"/>
      </w:pPr>
      <w:r/>
      <w:bookmarkStart w:id="353" w:name="_Toc4379"/>
      <w:r/>
      <w:bookmarkStart w:id="354" w:name="_Toc3536"/>
      <w:r/>
      <w:bookmarkStart w:id="355" w:name="_Toc10743"/>
      <w:r>
        <w:rPr>
          <w:rFonts w:hint="eastAsia" w:ascii="仿宋" w:hAnsi="仿宋" w:eastAsia="仿宋" w:cs="仿宋"/>
          <w:b/>
          <w:bCs/>
          <w:color w:val="000000"/>
          <w:sz w:val="24"/>
          <w:szCs w:val="24"/>
          <w:highlight w:val="none"/>
        </w:rPr>
        <w:t xml:space="preserve">注：中小企业政府采购扶持政策说明</w:t>
      </w:r>
      <w:bookmarkEnd w:id="353"/>
      <w:r/>
      <w:bookmarkEnd w:id="354"/>
      <w:r/>
      <w:bookmarkEnd w:id="355"/>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1.采购标的的所属行业，根据《工业和信息化部、国家统计局、国家发展和改革委员会、财政部关于印发中小企业划型标准规定的通知》（工信部联企业[2011]300号）规定的划分标准填写。</w:t>
      </w:r>
      <w:r/>
    </w:p>
    <w:p>
      <w:pPr>
        <w:ind w:left="0" w:firstLine="480"/>
        <w:jc w:val="both"/>
        <w:keepLines w:val="0"/>
        <w:keepNext w:val="0"/>
        <w:pageBreakBefore w:val="0"/>
        <w:spacing w:beforeAutospacing="0" w:afterAutospacing="0" w:line="4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2.采购标的对应的中小企业划分标准所属行业一览表</w:t>
      </w:r>
      <w:r/>
    </w:p>
    <w:tbl>
      <w:tblPr>
        <w:tblStyle w:val="650"/>
        <w:tblW w:w="99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9"/>
        <w:gridCol w:w="4569"/>
        <w:gridCol w:w="4640"/>
      </w:tblGrid>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对应中小企业划分标准所属行业</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9" w:type="dxa"/>
            <w:vAlign w:val="center"/>
            <w:textDirection w:val="lrTb"/>
            <w:noWrap w:val="false"/>
          </w:tcPr>
          <w:p>
            <w:pPr>
              <w:jc w:val="center"/>
              <w:rPr>
                <w:rFonts w:hint="eastAsia" w:ascii="仿宋" w:hAnsi="仿宋" w:eastAsia="仿宋" w:cs="仿宋"/>
                <w:i w:val="0"/>
                <w:iCs w:val="0"/>
                <w:color w:val="000000"/>
                <w:sz w:val="24"/>
                <w:szCs w:val="24"/>
                <w:highlight w:val="none"/>
                <w:u w:val="none"/>
                <w:lang w:eastAsia="zh-CN"/>
              </w:rPr>
            </w:pPr>
            <w:r>
              <w:rPr>
                <w:rFonts w:hint="eastAsia" w:ascii="仿宋" w:hAnsi="仿宋" w:eastAsia="仿宋" w:cs="仿宋"/>
                <w:i w:val="0"/>
                <w:iCs w:val="0"/>
                <w:color w:val="000000"/>
                <w:sz w:val="24"/>
                <w:szCs w:val="24"/>
                <w:highlight w:val="none"/>
                <w:u w:val="none"/>
                <w:lang w:eastAsia="zh-CN"/>
              </w:rPr>
              <w:t xml:space="preserve">滨海县黄河故道风貌带片区规划编制项目</w:t>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rPr>
                <w:rFonts w:hint="eastAsia" w:ascii="仿宋" w:hAnsi="仿宋" w:eastAsia="仿宋" w:cs="仿宋"/>
                <w:i w:val="0"/>
                <w:iCs w:val="0"/>
                <w:color w:val="000000"/>
                <w:sz w:val="24"/>
                <w:szCs w:val="24"/>
                <w:highlight w:val="none"/>
                <w:u w:val="none"/>
                <w:lang w:val="en-US" w:eastAsia="zh-CN"/>
              </w:rPr>
            </w:pPr>
            <w:r>
              <w:rPr>
                <w:rFonts w:hint="eastAsia" w:ascii="仿宋" w:hAnsi="仿宋" w:eastAsia="仿宋" w:cs="仿宋"/>
                <w:i w:val="0"/>
                <w:iCs w:val="0"/>
                <w:color w:val="000000"/>
                <w:sz w:val="24"/>
                <w:szCs w:val="24"/>
                <w:highlight w:val="none"/>
                <w:u w:val="none"/>
                <w:lang w:val="en-US" w:eastAsia="zh-CN"/>
              </w:rPr>
              <w:t xml:space="preserve">其他未列明行业</w:t>
            </w:r>
            <w:r/>
          </w:p>
        </w:tc>
      </w:tr>
    </w:tbl>
    <w:p>
      <w:pPr>
        <w:rPr>
          <w:rFonts w:hint="eastAsia" w:ascii="方正小标宋简体" w:hAnsi="方正小标宋简体" w:eastAsia="方正小标宋简体" w:cs="方正小标宋简体"/>
          <w:b w:val="0"/>
          <w:bCs w:val="0"/>
          <w:color w:val="000000"/>
          <w:sz w:val="44"/>
          <w:szCs w:val="44"/>
          <w:highlight w:val="none"/>
        </w:rPr>
      </w:pPr>
      <w:r>
        <w:rPr>
          <w:rFonts w:hint="eastAsia" w:ascii="方正小标宋简体" w:hAnsi="方正小标宋简体" w:eastAsia="方正小标宋简体" w:cs="方正小标宋简体"/>
          <w:b w:val="0"/>
          <w:bCs w:val="0"/>
          <w:color w:val="000000"/>
          <w:sz w:val="44"/>
          <w:szCs w:val="44"/>
          <w:highlight w:val="none"/>
        </w:rPr>
        <w:br w:type="page" w:clear="all"/>
      </w:r>
      <w:r/>
    </w:p>
    <w:p>
      <w:pPr>
        <w:jc w:val="center"/>
        <w:rPr>
          <w:rFonts w:hint="eastAsia" w:ascii="方正小标宋简体" w:hAnsi="方正小标宋简体" w:eastAsia="方正小标宋简体" w:cs="方正小标宋简体"/>
          <w:b w:val="0"/>
          <w:bCs w:val="0"/>
          <w:highlight w:val="none"/>
        </w:rPr>
        <w:outlineLvl w:val="0"/>
      </w:pPr>
      <w:r/>
      <w:bookmarkStart w:id="356" w:name="_Toc26134"/>
      <w:r>
        <w:rPr>
          <w:rFonts w:hint="eastAsia" w:ascii="方正小标宋简体" w:hAnsi="方正小标宋简体" w:eastAsia="方正小标宋简体" w:cs="方正小标宋简体"/>
          <w:b w:val="0"/>
          <w:bCs w:val="0"/>
          <w:color w:val="000000"/>
          <w:sz w:val="44"/>
          <w:szCs w:val="44"/>
          <w:highlight w:val="none"/>
        </w:rPr>
        <w:t xml:space="preserve">第五章  评标方法与评标标准</w:t>
      </w:r>
      <w:bookmarkEnd w:id="325"/>
      <w:r/>
      <w:bookmarkEnd w:id="356"/>
      <w:r/>
      <w:r/>
    </w:p>
    <w:p>
      <w:pPr>
        <w:pStyle w:val="661"/>
        <w:jc w:val="both"/>
        <w:spacing w:beforeAutospacing="0" w:afterAutospacing="0"/>
        <w:rPr>
          <w:highlight w:val="none"/>
        </w:rPr>
      </w:pPr>
      <w:r>
        <w:rPr>
          <w:highlight w:val="none"/>
        </w:rPr>
        <w:t xml:space="preserve"> </w:t>
      </w:r>
      <w:r/>
    </w:p>
    <w:p>
      <w:pPr>
        <w:ind w:left="0" w:firstLine="482"/>
        <w:keepLines w:val="0"/>
        <w:keepNext w:val="0"/>
        <w:pageBreakBefore w:val="0"/>
        <w:spacing w:line="520" w:lineRule="exact"/>
        <w:widowControl w:val="off"/>
        <w:rPr>
          <w:rFonts w:hint="eastAsia" w:ascii="仿宋" w:hAnsi="仿宋" w:eastAsia="仿宋" w:cs="仿宋"/>
          <w:b/>
          <w:bCs/>
          <w:color w:val="000000"/>
          <w:sz w:val="24"/>
          <w:szCs w:val="24"/>
          <w:highlight w:val="none"/>
        </w:rPr>
        <w:outlineLvl w:val="0"/>
      </w:pPr>
      <w:r/>
      <w:bookmarkStart w:id="357" w:name="_Toc11696"/>
      <w:r/>
      <w:bookmarkStart w:id="358" w:name="_Toc20042"/>
      <w:r>
        <w:rPr>
          <w:rFonts w:hint="eastAsia" w:ascii="仿宋" w:hAnsi="仿宋" w:eastAsia="仿宋" w:cs="仿宋"/>
          <w:b/>
          <w:bCs/>
          <w:color w:val="000000"/>
          <w:sz w:val="24"/>
          <w:szCs w:val="24"/>
          <w:highlight w:val="none"/>
        </w:rPr>
        <w:t xml:space="preserve">一、定标原则</w:t>
      </w:r>
      <w:bookmarkEnd w:id="357"/>
      <w:r/>
      <w:bookmarkEnd w:id="358"/>
      <w:r/>
      <w:r/>
    </w:p>
    <w:p>
      <w:pPr>
        <w:ind w:left="0" w:firstLine="480"/>
        <w:keepLines w:val="0"/>
        <w:keepNext w:val="0"/>
        <w:pageBreakBefore w:val="0"/>
        <w:spacing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本项目采用</w:t>
      </w:r>
      <w:r>
        <w:rPr>
          <w:rFonts w:hint="eastAsia" w:ascii="仿宋" w:hAnsi="仿宋" w:eastAsia="仿宋" w:cs="仿宋"/>
          <w:bCs/>
          <w:color w:val="000000"/>
          <w:sz w:val="24"/>
          <w:szCs w:val="24"/>
          <w:highlight w:val="none"/>
          <w:u w:val="single"/>
        </w:rPr>
        <w:t xml:space="preserve">综合评分</w:t>
      </w:r>
      <w:r>
        <w:rPr>
          <w:rFonts w:hint="eastAsia" w:ascii="仿宋" w:hAnsi="仿宋" w:eastAsia="仿宋" w:cs="仿宋"/>
          <w:bCs/>
          <w:color w:val="000000"/>
          <w:sz w:val="24"/>
          <w:szCs w:val="24"/>
          <w:highlight w:val="none"/>
        </w:rPr>
        <w:t xml:space="preserve">法</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评标结果按评审后得分由高到低顺序排列。得分相同的，按投标报价由低到高顺序排列。得分且投标报价相同的</w:t>
      </w:r>
      <w:r>
        <w:rPr>
          <w:rFonts w:hint="eastAsia" w:ascii="仿宋" w:hAnsi="仿宋" w:eastAsia="仿宋" w:cs="仿宋"/>
          <w:color w:val="000000"/>
          <w:sz w:val="24"/>
          <w:szCs w:val="24"/>
          <w:highlight w:val="none"/>
          <w:lang w:val="en-US" w:eastAsia="zh-CN"/>
        </w:rPr>
        <w:t xml:space="preserve">并列</w:t>
      </w:r>
      <w:r>
        <w:rPr>
          <w:rFonts w:hint="eastAsia" w:ascii="仿宋" w:hAnsi="仿宋" w:eastAsia="仿宋" w:cs="仿宋"/>
          <w:color w:val="000000"/>
          <w:sz w:val="24"/>
          <w:szCs w:val="24"/>
          <w:highlight w:val="none"/>
        </w:rPr>
        <w:t xml:space="preserve">。投标文件满足</w:t>
      </w:r>
      <w:r>
        <w:rPr>
          <w:rFonts w:hint="eastAsia" w:ascii="仿宋" w:hAnsi="仿宋" w:eastAsia="仿宋" w:cs="仿宋"/>
          <w:color w:val="000000"/>
          <w:sz w:val="24"/>
          <w:szCs w:val="24"/>
          <w:highlight w:val="none"/>
          <w:lang w:eastAsia="zh-CN"/>
        </w:rPr>
        <w:t xml:space="preserve">采购文件</w:t>
      </w:r>
      <w:r>
        <w:rPr>
          <w:rFonts w:hint="eastAsia" w:ascii="仿宋" w:hAnsi="仿宋" w:eastAsia="仿宋" w:cs="仿宋"/>
          <w:color w:val="000000"/>
          <w:sz w:val="24"/>
          <w:szCs w:val="24"/>
          <w:highlight w:val="none"/>
        </w:rPr>
        <w:t xml:space="preserve">全部实质性要求，且按照评审因素的量化指标评审得分最高的</w:t>
      </w:r>
      <w:r>
        <w:rPr>
          <w:rFonts w:hint="eastAsia" w:ascii="仿宋" w:hAnsi="仿宋" w:eastAsia="仿宋" w:cs="仿宋"/>
          <w:color w:val="000000"/>
          <w:sz w:val="24"/>
          <w:szCs w:val="24"/>
          <w:highlight w:val="none"/>
          <w:lang w:eastAsia="zh-CN"/>
        </w:rPr>
        <w:t xml:space="preserve">投标供应商</w:t>
      </w:r>
      <w:r>
        <w:rPr>
          <w:rFonts w:hint="eastAsia" w:ascii="仿宋" w:hAnsi="仿宋" w:eastAsia="仿宋" w:cs="仿宋"/>
          <w:color w:val="000000"/>
          <w:sz w:val="24"/>
          <w:szCs w:val="24"/>
          <w:highlight w:val="none"/>
        </w:rPr>
        <w:t xml:space="preserve">为排名第一的中标候选人，本项目选取1名中标候选人。</w:t>
      </w:r>
      <w:r/>
    </w:p>
    <w:p>
      <w:pPr>
        <w:pStyle w:val="661"/>
        <w:ind w:left="0" w:firstLine="482"/>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b/>
          <w:color w:val="000000"/>
          <w:sz w:val="24"/>
          <w:szCs w:val="24"/>
          <w:highlight w:val="none"/>
        </w:rPr>
        <w:t xml:space="preserve">政府采购政策功能落实</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1、小微型企业价格扣除</w:t>
      </w:r>
      <w:r/>
    </w:p>
    <w:p>
      <w:pPr>
        <w:pStyle w:val="664"/>
        <w:ind w:left="0" w:firstLine="480"/>
        <w:keepLines w:val="0"/>
        <w:keepNext w:val="0"/>
        <w:pageBreakBefore w:val="0"/>
        <w:spacing w:before="0" w:after="0" w:line="52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（1）本项目若不专门面向中小企业采购，对</w:t>
      </w:r>
      <w:r>
        <w:rPr>
          <w:rFonts w:hint="eastAsia" w:ascii="仿宋" w:hAnsi="仿宋" w:eastAsia="仿宋" w:cs="仿宋"/>
          <w:sz w:val="24"/>
          <w:szCs w:val="24"/>
          <w:highlight w:val="none"/>
          <w:lang w:val="en-US" w:eastAsia="zh-CN"/>
        </w:rPr>
        <w:t xml:space="preserve">符合规定的</w:t>
      </w:r>
      <w:r>
        <w:rPr>
          <w:rFonts w:hint="eastAsia" w:ascii="仿宋" w:hAnsi="仿宋" w:eastAsia="仿宋" w:cs="仿宋"/>
          <w:sz w:val="24"/>
          <w:szCs w:val="24"/>
          <w:highlight w:val="none"/>
        </w:rPr>
        <w:t xml:space="preserve">小型和微型企业</w:t>
      </w:r>
      <w:r>
        <w:rPr>
          <w:rFonts w:hint="eastAsia" w:ascii="仿宋" w:hAnsi="仿宋" w:eastAsia="仿宋" w:cs="仿宋"/>
          <w:sz w:val="24"/>
          <w:szCs w:val="24"/>
          <w:highlight w:val="none"/>
          <w:lang w:val="en-US" w:eastAsia="zh-CN"/>
        </w:rPr>
        <w:t xml:space="preserve">报价</w:t>
      </w:r>
      <w:r>
        <w:rPr>
          <w:rFonts w:hint="eastAsia" w:ascii="仿宋" w:hAnsi="仿宋" w:eastAsia="仿宋" w:cs="仿宋"/>
          <w:sz w:val="24"/>
          <w:szCs w:val="24"/>
          <w:highlight w:val="none"/>
        </w:rPr>
        <w:t xml:space="preserve">给予20%的扣除价格，用扣除后的价格参与评审；若专门面向中小企业采购，不再对小型和微型企业</w:t>
      </w:r>
      <w:r>
        <w:rPr>
          <w:rFonts w:hint="eastAsia" w:ascii="仿宋" w:hAnsi="仿宋" w:eastAsia="仿宋" w:cs="仿宋"/>
          <w:sz w:val="24"/>
          <w:szCs w:val="24"/>
          <w:highlight w:val="none"/>
          <w:lang w:val="en-US" w:eastAsia="zh-CN"/>
        </w:rPr>
        <w:t xml:space="preserve">报价</w:t>
      </w:r>
      <w:r>
        <w:rPr>
          <w:rFonts w:hint="eastAsia" w:ascii="仿宋" w:hAnsi="仿宋" w:eastAsia="仿宋" w:cs="仿宋"/>
          <w:sz w:val="24"/>
          <w:szCs w:val="24"/>
          <w:highlight w:val="none"/>
        </w:rPr>
        <w:t xml:space="preserve">给予价格扣除。</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（2）供应商需按照采购文件的要求提供相应的《</w:t>
      </w:r>
      <w:r>
        <w:rPr>
          <w:rFonts w:hint="eastAsia" w:ascii="仿宋" w:hAnsi="仿宋" w:eastAsia="仿宋" w:cs="仿宋"/>
          <w:color w:val="auto"/>
          <w:sz w:val="24"/>
          <w:szCs w:val="24"/>
          <w:highlight w:val="none"/>
          <w:lang w:val="en-US" w:eastAsia="zh-CN"/>
        </w:rPr>
        <w:t xml:space="preserve">中小</w:t>
      </w:r>
      <w:r>
        <w:rPr>
          <w:rFonts w:hint="eastAsia" w:ascii="仿宋" w:hAnsi="仿宋" w:eastAsia="仿宋" w:cs="仿宋"/>
          <w:color w:val="auto"/>
          <w:sz w:val="24"/>
          <w:szCs w:val="24"/>
          <w:highlight w:val="none"/>
        </w:rPr>
        <w:t xml:space="preserve">企业声明函</w:t>
      </w:r>
      <w:r>
        <w:rPr>
          <w:rFonts w:hint="eastAsia" w:ascii="仿宋" w:hAnsi="仿宋" w:eastAsia="仿宋" w:cs="仿宋"/>
          <w:color w:val="000000"/>
          <w:sz w:val="24"/>
          <w:szCs w:val="24"/>
          <w:highlight w:val="none"/>
        </w:rPr>
        <w:t xml:space="preserve">》。</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（3）企业标准请参照《关于印发中小企业划型标准规定的通知》（工信部联企业</w:t>
      </w:r>
      <w:r>
        <w:rPr>
          <w:rFonts w:hint="eastAsia" w:ascii="仿宋" w:hAnsi="仿宋" w:eastAsia="仿宋" w:cs="仿宋"/>
          <w:color w:val="000000"/>
          <w:sz w:val="24"/>
          <w:szCs w:val="24"/>
          <w:highlight w:val="none"/>
          <w:lang w:eastAsia="zh-CN"/>
        </w:rPr>
        <w:t xml:space="preserve">〔2011〕300号</w:t>
      </w:r>
      <w:r>
        <w:rPr>
          <w:rFonts w:hint="eastAsia" w:ascii="仿宋" w:hAnsi="仿宋" w:eastAsia="仿宋" w:cs="仿宋"/>
          <w:color w:val="000000"/>
          <w:sz w:val="24"/>
          <w:szCs w:val="24"/>
          <w:highlight w:val="none"/>
        </w:rPr>
        <w:t xml:space="preserve">）文件规定自行填写。</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2、残疾人福利单位价格扣除</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（1）本项目对残疾人福利性单位视同小型、微型企业，给予</w:t>
      </w:r>
      <w:r>
        <w:rPr>
          <w:rFonts w:hint="eastAsia" w:ascii="仿宋" w:hAnsi="仿宋" w:eastAsia="仿宋" w:cs="仿宋"/>
          <w:color w:val="000000"/>
          <w:sz w:val="24"/>
          <w:szCs w:val="24"/>
          <w:highlight w:val="none"/>
          <w:u w:val="single"/>
        </w:rPr>
        <w:t xml:space="preserve">20%</w:t>
      </w:r>
      <w:r>
        <w:rPr>
          <w:rFonts w:hint="eastAsia" w:ascii="仿宋" w:hAnsi="仿宋" w:eastAsia="仿宋" w:cs="仿宋"/>
          <w:color w:val="000000"/>
          <w:sz w:val="24"/>
          <w:szCs w:val="24"/>
          <w:highlight w:val="none"/>
          <w:u w:val="single"/>
          <w:lang w:eastAsia="zh-CN"/>
        </w:rPr>
        <w:t xml:space="preserve">的价格扣除。</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（2）残疾人福利单位需按照采购文件的要求提供《残疾人福利性单位声明函》。</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（3）残疾人福利单位标准请参照《关于促进残疾人就业政府采购政策的通知》（财库〔2017〕141号）。</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3、监狱和戒毒企业价格扣除</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（1）本项目对监狱和戒毒企业（简称监狱企业）视同小型、微型企业，给予</w:t>
      </w:r>
      <w:r>
        <w:rPr>
          <w:rFonts w:hint="eastAsia" w:ascii="仿宋" w:hAnsi="仿宋" w:eastAsia="仿宋" w:cs="仿宋"/>
          <w:color w:val="000000"/>
          <w:sz w:val="24"/>
          <w:szCs w:val="24"/>
          <w:highlight w:val="none"/>
          <w:u w:val="single"/>
        </w:rPr>
        <w:t xml:space="preserve">20%</w:t>
      </w:r>
      <w:r>
        <w:rPr>
          <w:rFonts w:hint="eastAsia" w:ascii="仿宋" w:hAnsi="仿宋" w:eastAsia="仿宋" w:cs="仿宋"/>
          <w:color w:val="000000"/>
          <w:sz w:val="24"/>
          <w:szCs w:val="24"/>
          <w:highlight w:val="none"/>
          <w:u w:val="single"/>
          <w:lang w:eastAsia="zh-CN"/>
        </w:rPr>
        <w:t xml:space="preserve">的价格扣除。</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（3）监狱企业标准请参照《关于政府采购支持监狱企业发展有关问题的通知》（财库</w:t>
      </w:r>
      <w:r>
        <w:rPr>
          <w:rFonts w:hint="eastAsia" w:ascii="仿宋" w:hAnsi="仿宋" w:eastAsia="仿宋" w:cs="仿宋"/>
          <w:color w:val="000000"/>
          <w:sz w:val="24"/>
          <w:szCs w:val="24"/>
          <w:highlight w:val="none"/>
          <w:lang w:eastAsia="zh-CN"/>
        </w:rPr>
        <w:t xml:space="preserve">〔2014〕68号</w:t>
      </w:r>
      <w:r>
        <w:rPr>
          <w:rFonts w:hint="eastAsia" w:ascii="仿宋" w:hAnsi="仿宋" w:eastAsia="仿宋" w:cs="仿宋"/>
          <w:color w:val="000000"/>
          <w:sz w:val="24"/>
          <w:szCs w:val="24"/>
          <w:highlight w:val="none"/>
        </w:rPr>
        <w:t xml:space="preserve">）。</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4、残疾人福利单位、监狱企业属于小型、微型企业的，不重复享受政策。</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仿宋" w:hAnsi="仿宋" w:eastAsia="仿宋" w:cs="仿宋"/>
          <w:color w:val="000000"/>
          <w:sz w:val="24"/>
          <w:szCs w:val="24"/>
          <w:highlight w:val="none"/>
          <w:u w:val="single"/>
        </w:rPr>
        <w:t xml:space="preserve">6%</w:t>
      </w:r>
      <w:r>
        <w:rPr>
          <w:rFonts w:hint="eastAsia" w:ascii="仿宋" w:hAnsi="仿宋" w:eastAsia="仿宋" w:cs="仿宋"/>
          <w:color w:val="000000"/>
          <w:sz w:val="24"/>
          <w:szCs w:val="24"/>
          <w:highlight w:val="none"/>
        </w:rPr>
        <w:t xml:space="preserve">的价格扣除，用扣除后的价格参与评审。</w:t>
      </w:r>
      <w:r/>
    </w:p>
    <w:p>
      <w:pPr>
        <w:pStyle w:val="661"/>
        <w:ind w:left="0" w:firstLine="480"/>
        <w:keepLines w:val="0"/>
        <w:keepNext w:val="0"/>
        <w:pageBreakBefore w:val="0"/>
        <w:spacing w:beforeAutospacing="0" w:afterAutospacing="0" w:line="520" w:lineRule="exact"/>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6、联合体各方均为小型、微型企业（残疾人福利单位、监狱企业）的，联合体享受</w:t>
      </w:r>
      <w:r>
        <w:rPr>
          <w:rFonts w:hint="eastAsia" w:ascii="仿宋" w:hAnsi="仿宋" w:eastAsia="仿宋" w:cs="仿宋"/>
          <w:color w:val="000000"/>
          <w:sz w:val="24"/>
          <w:szCs w:val="24"/>
          <w:highlight w:val="none"/>
          <w:u w:val="single"/>
        </w:rPr>
        <w:t xml:space="preserve">20%</w:t>
      </w:r>
      <w:r>
        <w:rPr>
          <w:rFonts w:hint="eastAsia" w:ascii="仿宋" w:hAnsi="仿宋" w:eastAsia="仿宋" w:cs="仿宋"/>
          <w:color w:val="000000"/>
          <w:sz w:val="24"/>
          <w:szCs w:val="24"/>
          <w:highlight w:val="none"/>
          <w:u w:val="single"/>
          <w:lang w:eastAsia="zh-CN"/>
        </w:rPr>
        <w:t xml:space="preserve">的价格扣除。</w:t>
      </w:r>
      <w:r/>
    </w:p>
    <w:p>
      <w:pPr>
        <w:ind w:left="0" w:firstLine="480"/>
        <w:keepLines w:val="0"/>
        <w:keepNext w:val="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b/>
          <w:i/>
          <w:color w:val="auto"/>
          <w:sz w:val="24"/>
          <w:szCs w:val="24"/>
          <w:highlight w:val="none"/>
        </w:rPr>
        <w:t xml:space="preserve">如属政府强制采购产品未提供认证证书的或认证证书提供不全的将视为未实质性响应采购要求</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outlineLvl w:val="0"/>
      </w:pPr>
      <w:r/>
      <w:bookmarkStart w:id="359" w:name="_Toc11735"/>
      <w:r/>
      <w:bookmarkStart w:id="360" w:name="_Toc21153"/>
      <w:r>
        <w:rPr>
          <w:rFonts w:hint="eastAsia" w:ascii="宋体" w:hAnsi="宋体" w:eastAsia="宋体" w:cs="宋体"/>
          <w:color w:val="auto"/>
          <w:highlight w:val="none"/>
        </w:rPr>
        <w:t xml:space="preserve"> </w:t>
      </w:r>
      <w:r>
        <w:rPr>
          <w:rFonts w:hint="default" w:ascii="Times New Roman" w:hAnsi="Times New Roman" w:eastAsia="黑体" w:cs="Times New Roman"/>
          <w:color w:val="000000"/>
          <w:sz w:val="24"/>
          <w:szCs w:val="21"/>
          <w:highlight w:val="none"/>
        </w:rPr>
        <w:t xml:space="preserve">二、评标标准</w:t>
      </w:r>
      <w:bookmarkEnd w:id="359"/>
      <w:r/>
      <w:bookmarkEnd w:id="360"/>
      <w:r/>
      <w:r/>
    </w:p>
    <w:p>
      <w:pPr>
        <w:ind w:firstLine="480"/>
        <w:keepLines w:val="0"/>
        <w:keepNext w:val="0"/>
        <w:pageBreakBefore w:val="0"/>
        <w:spacing w:line="520" w:lineRule="exact"/>
        <w:widowControl w:val="off"/>
        <w:rPr>
          <w:rFonts w:hint="eastAsia" w:ascii="仿宋" w:hAnsi="仿宋" w:eastAsia="仿宋" w:cs="仿宋"/>
          <w:color w:val="000000"/>
          <w:sz w:val="24"/>
          <w:szCs w:val="21"/>
          <w:highlight w:val="none"/>
          <w:lang w:val="en-US" w:eastAsia="zh-CN"/>
        </w:rPr>
      </w:pPr>
      <w:r>
        <w:rPr>
          <w:rFonts w:hint="eastAsia" w:ascii="仿宋" w:hAnsi="仿宋" w:eastAsia="仿宋" w:cs="仿宋"/>
          <w:color w:val="000000"/>
          <w:sz w:val="24"/>
          <w:szCs w:val="21"/>
          <w:highlight w:val="none"/>
          <w:lang w:val="en-US" w:eastAsia="zh-CN"/>
        </w:rPr>
        <w:t xml:space="preserve">评标委员会根据评审标准和无效标书条款对每一份投标文件进行评审，凡有无效标书条款规定情形之一的，作无效标处理。</w:t>
      </w:r>
      <w:r/>
    </w:p>
    <w:p>
      <w:pPr>
        <w:ind w:firstLine="480"/>
        <w:keepLines w:val="0"/>
        <w:keepNext w:val="0"/>
        <w:pageBreakBefore w:val="0"/>
        <w:spacing w:line="520" w:lineRule="exact"/>
        <w:widowControl w:val="off"/>
        <w:rPr>
          <w:rFonts w:hint="eastAsia" w:ascii="仿宋" w:hAnsi="仿宋" w:eastAsia="仿宋" w:cs="仿宋"/>
          <w:color w:val="000000"/>
          <w:sz w:val="24"/>
          <w:szCs w:val="21"/>
          <w:highlight w:val="none"/>
          <w:lang w:val="en-US" w:eastAsia="zh-CN"/>
        </w:rPr>
      </w:pPr>
      <w:r>
        <w:rPr>
          <w:rFonts w:hint="eastAsia" w:ascii="仿宋" w:hAnsi="仿宋" w:eastAsia="仿宋" w:cs="仿宋"/>
          <w:color w:val="000000"/>
          <w:sz w:val="24"/>
          <w:szCs w:val="21"/>
          <w:highlight w:val="none"/>
          <w:lang w:val="en-US" w:eastAsia="zh-CN"/>
        </w:rPr>
        <w:t xml:space="preserve">投标报价评审的修正原则：1.大写报价与小写报价不一致的以大写报价为准；2.投标单价合计结果与总价不一致的以单价为准；3.前述原则并列遵循。</w:t>
      </w:r>
      <w:r/>
    </w:p>
    <w:p>
      <w:pPr>
        <w:ind w:firstLine="480"/>
        <w:keepLines w:val="0"/>
        <w:keepNext w:val="0"/>
        <w:pageBreakBefore w:val="0"/>
        <w:spacing w:line="520" w:lineRule="exact"/>
        <w:widowControl w:val="off"/>
        <w:rPr>
          <w:rFonts w:hint="eastAsia" w:ascii="仿宋" w:hAnsi="仿宋" w:eastAsia="仿宋" w:cs="仿宋"/>
          <w:color w:val="000000"/>
          <w:sz w:val="24"/>
          <w:szCs w:val="21"/>
          <w:highlight w:val="none"/>
          <w:lang w:val="en-US" w:eastAsia="zh-CN"/>
        </w:rPr>
      </w:pPr>
      <w:r>
        <w:rPr>
          <w:rFonts w:hint="eastAsia" w:ascii="仿宋" w:hAnsi="仿宋" w:eastAsia="仿宋" w:cs="仿宋"/>
          <w:color w:val="000000"/>
          <w:sz w:val="24"/>
          <w:szCs w:val="21"/>
          <w:highlight w:val="none"/>
          <w:lang w:val="en-US" w:eastAsia="zh-CN"/>
        </w:rPr>
        <w:t xml:space="preserve">投标文件的评审按以下顺序进行，上一阶段未通过的不进入下一阶段评审：</w:t>
      </w:r>
      <w:r/>
    </w:p>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outlineLvl w:val="1"/>
      </w:pPr>
      <w:r/>
      <w:bookmarkStart w:id="361" w:name="_Toc26814"/>
      <w:r>
        <w:rPr>
          <w:rFonts w:hint="default" w:ascii="Times New Roman" w:hAnsi="Times New Roman" w:eastAsia="黑体" w:cs="Times New Roman"/>
          <w:color w:val="000000"/>
          <w:sz w:val="24"/>
          <w:szCs w:val="21"/>
          <w:highlight w:val="none"/>
        </w:rPr>
        <w:t xml:space="preserve">1、初步评审</w:t>
      </w:r>
      <w:bookmarkEnd w:id="361"/>
      <w:r/>
      <w:r/>
    </w:p>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outlineLvl w:val="2"/>
      </w:pPr>
      <w:r/>
      <w:bookmarkStart w:id="362" w:name="_Toc28427"/>
      <w:r>
        <w:rPr>
          <w:rFonts w:hint="default" w:ascii="Times New Roman" w:hAnsi="Times New Roman" w:eastAsia="黑体" w:cs="Times New Roman"/>
          <w:color w:val="000000"/>
          <w:sz w:val="24"/>
          <w:szCs w:val="21"/>
          <w:highlight w:val="none"/>
        </w:rPr>
        <w:t xml:space="preserve">1.1资格审查（资格后审）</w:t>
      </w:r>
      <w:bookmarkEnd w:id="362"/>
      <w:r/>
      <w:r/>
    </w:p>
    <w:p>
      <w:pPr>
        <w:ind w:firstLine="480"/>
        <w:keepLines w:val="0"/>
        <w:keepNext w:val="0"/>
        <w:pageBreakBefore w:val="0"/>
        <w:spacing w:line="520" w:lineRule="exact"/>
        <w:widowControl w:val="off"/>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en-US" w:eastAsia="zh-CN"/>
        </w:rPr>
        <w:t xml:space="preserve">采购人</w:t>
      </w:r>
      <w:r>
        <w:rPr>
          <w:rFonts w:hint="eastAsia" w:ascii="仿宋" w:hAnsi="仿宋" w:eastAsia="仿宋" w:cs="仿宋"/>
          <w:color w:val="000000"/>
          <w:sz w:val="24"/>
          <w:szCs w:val="21"/>
          <w:highlight w:val="none"/>
        </w:rPr>
        <w:t xml:space="preserve">对所有参加投标的投标供应商的资格对照</w:t>
      </w:r>
      <w:r>
        <w:rPr>
          <w:rFonts w:hint="eastAsia" w:ascii="仿宋" w:hAnsi="仿宋" w:eastAsia="仿宋" w:cs="仿宋"/>
          <w:color w:val="000000"/>
          <w:sz w:val="24"/>
          <w:szCs w:val="21"/>
          <w:highlight w:val="none"/>
          <w:lang w:eastAsia="zh-CN"/>
        </w:rPr>
        <w:t xml:space="preserve">采购文件</w:t>
      </w:r>
      <w:r>
        <w:rPr>
          <w:rFonts w:hint="eastAsia" w:ascii="仿宋" w:hAnsi="仿宋" w:eastAsia="仿宋" w:cs="仿宋"/>
          <w:color w:val="000000"/>
          <w:sz w:val="24"/>
          <w:szCs w:val="21"/>
          <w:highlight w:val="none"/>
        </w:rPr>
        <w:t xml:space="preserve">资格审查的规定要求进行审查，只有通过资格审查的投标供应商方可进行下一阶段的评审。</w:t>
      </w:r>
      <w:r/>
    </w:p>
    <w:p>
      <w:pPr>
        <w:pStyle w:val="66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6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bl>
      <w:tblPr>
        <w:tblStyle w:val="6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815"/>
        <w:gridCol w:w="2923"/>
      </w:tblGrid>
      <w:tr>
        <w:trPr>
          <w:jc w:val="center"/>
          <w:trHeight w:val="607"/>
          <w:tblHeader/>
        </w:trPr>
        <w:tc>
          <w:tcPr>
            <w:shd w:val="clear" w:color="auto" w:fill="f1f1f1"/>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序号</w:t>
            </w:r>
            <w:r/>
          </w:p>
        </w:tc>
        <w:tc>
          <w:tcPr>
            <w:shd w:val="clear" w:color="auto" w:fill="f1f1f1"/>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审查材料名称</w:t>
            </w:r>
            <w:r/>
          </w:p>
        </w:tc>
        <w:tc>
          <w:tcPr>
            <w:shd w:val="clear" w:color="auto" w:fill="f1f1f1"/>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备注</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1</w:t>
            </w:r>
            <w:r/>
          </w:p>
        </w:tc>
        <w:tc>
          <w:tcPr>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4"/>
                <w:highlight w:val="none"/>
                <w:lang w:val="en-US" w:eastAsia="zh-CN" w:bidi="ar-SA"/>
              </w:rPr>
              <w:t xml:space="preserve">法人或者其他组织的营业执照等证明文件，自然人的身份证明</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提供扫描件</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2</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上一年度的财务报表或财务审计报告（成立不满一年不需提供）</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3</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依法缴纳税收和社会保障资金的相关材料</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提供承诺函或证明材料</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4</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具备履行合同所必需的设备和专业技术能力的书面声明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提供书面声明，格式附后</w:t>
            </w:r>
            <w:r/>
          </w:p>
        </w:tc>
      </w:tr>
      <w:tr>
        <w:trPr>
          <w:jc w:val="center"/>
          <w:trHeight w:val="775"/>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5</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参加政府采购活动前3年内在经营活动中没有重大违法记录的书面声明</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提供书面声明，格式附后</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6</w:t>
            </w:r>
            <w:r/>
          </w:p>
        </w:tc>
        <w:tc>
          <w:tcPr>
            <w:shd w:val="clear" w:color="auto" w:fill="auto"/>
            <w:tcW w:w="4815"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未被“信用中国”网站（www.creditchina.gov.cn）列入失信被执行人、重大税收违法案件当事人名单、政府采购严重失信行为记录名单</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提供信用中国网页截图或信用中国下载的信用报告</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7</w:t>
            </w:r>
            <w:r/>
          </w:p>
        </w:tc>
        <w:tc>
          <w:tcPr>
            <w:shd w:val="clear" w:color="auto" w:fill="auto"/>
            <w:tcW w:w="4815"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投标供应商有效的城乡规划编制乙级及以上资质证书</w:t>
            </w:r>
            <w:r/>
          </w:p>
        </w:tc>
        <w:tc>
          <w:tcPr>
            <w:shd w:val="clear" w:color="auto" w:fill="auto"/>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提供扫描件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8</w:t>
            </w:r>
            <w:r/>
          </w:p>
        </w:tc>
        <w:tc>
          <w:tcPr>
            <w:tcW w:w="4815" w:type="dxa"/>
            <w:vAlign w:val="center"/>
            <w:textDirection w:val="lrTb"/>
            <w:noWrap w:val="false"/>
          </w:tcPr>
          <w:p>
            <w:pPr>
              <w:keepLines w:val="0"/>
              <w:keepNext w:val="0"/>
              <w:pageBreakBefore w:val="0"/>
              <w:spacing w:line="520" w:lineRule="exact"/>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招标文件要求提供的其他材料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提供扫描件</w:t>
            </w:r>
            <w:r/>
          </w:p>
        </w:tc>
      </w:tr>
      <w:tr>
        <w:trPr>
          <w:jc w:val="center"/>
          <w:trHeight w:val="889"/>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default"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9</w:t>
            </w:r>
            <w:r/>
          </w:p>
        </w:tc>
        <w:tc>
          <w:tcPr>
            <w:tcW w:w="4815" w:type="dxa"/>
            <w:vAlign w:val="center"/>
            <w:textDirection w:val="lrTb"/>
            <w:noWrap w:val="false"/>
          </w:tcPr>
          <w:p>
            <w:pPr>
              <w:keepLines w:val="0"/>
              <w:keepNext w:val="0"/>
              <w:pageBreakBefore w:val="0"/>
              <w:spacing w:line="520" w:lineRule="exact"/>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投标供应商认为需要提供的其他资格要求材料</w:t>
            </w:r>
            <w:r/>
          </w:p>
        </w:tc>
        <w:tc>
          <w:tcPr>
            <w:tcW w:w="2923"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提供扫描件</w:t>
            </w:r>
            <w:r/>
          </w:p>
        </w:tc>
      </w:tr>
      <w:tr>
        <w:trPr>
          <w:jc w:val="center"/>
          <w:trHeight w:val="90"/>
        </w:trPr>
        <w:tc>
          <w:tcPr>
            <w:tcW w:w="784" w:type="dxa"/>
            <w:vAlign w:val="center"/>
            <w:textDirection w:val="lrTb"/>
            <w:noWrap w:val="false"/>
          </w:tcPr>
          <w:p>
            <w:pPr>
              <w:ind w:firstLine="0"/>
              <w:jc w:val="center"/>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说明</w:t>
            </w:r>
            <w:r/>
          </w:p>
        </w:tc>
        <w:tc>
          <w:tcPr>
            <w:gridSpan w:val="2"/>
            <w:tcW w:w="7738" w:type="dxa"/>
            <w:vAlign w:val="center"/>
            <w:textDirection w:val="lrTb"/>
            <w:noWrap w:val="false"/>
          </w:tcPr>
          <w:p>
            <w:pPr>
              <w:ind w:firstLine="0"/>
              <w:jc w:val="left"/>
              <w:keepLines w:val="0"/>
              <w:keepNext w:val="0"/>
              <w:pageBreakBefore w:val="0"/>
              <w:spacing w:before="0" w:after="0" w:line="360" w:lineRule="auto"/>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1.投标供应商（申请人）必须按照上述要求提供资格审查材料，否则将会被评标委员会作无效标处理；2.除上述材料及本文件第二章投标供应商须知22条规定的不符合资格审查要求的情形外，评标委员会一般不应判定投标供应商资格审查不通过。</w:t>
            </w:r>
            <w:r/>
          </w:p>
        </w:tc>
      </w:tr>
    </w:tbl>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outlineLvl w:val="2"/>
      </w:pPr>
      <w:r/>
      <w:bookmarkStart w:id="363" w:name="_Toc15340"/>
      <w:r>
        <w:rPr>
          <w:rFonts w:hint="default" w:ascii="Times New Roman" w:hAnsi="Times New Roman" w:eastAsia="黑体" w:cs="Times New Roman"/>
          <w:color w:val="000000"/>
          <w:sz w:val="24"/>
          <w:szCs w:val="21"/>
          <w:highlight w:val="none"/>
        </w:rPr>
        <w:t xml:space="preserve">1.2形式评审标准</w:t>
      </w:r>
      <w:bookmarkEnd w:id="363"/>
      <w:r/>
      <w:r/>
    </w:p>
    <w:p>
      <w:pPr>
        <w:ind w:firstLine="480"/>
        <w:keepLines w:val="0"/>
        <w:keepNext w:val="0"/>
        <w:pageBreakBefore w:val="0"/>
        <w:spacing w:line="520" w:lineRule="exact"/>
        <w:widowControl w:val="off"/>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评标委员会参照本文件</w:t>
      </w:r>
      <w:r>
        <w:rPr>
          <w:rFonts w:hint="eastAsia" w:ascii="仿宋" w:hAnsi="仿宋" w:eastAsia="仿宋" w:cs="仿宋"/>
          <w:color w:val="000000"/>
          <w:sz w:val="24"/>
          <w:szCs w:val="21"/>
          <w:highlight w:val="none"/>
          <w:u w:val="single"/>
        </w:rPr>
        <w:t xml:space="preserve">第二章</w:t>
      </w:r>
      <w:r>
        <w:rPr>
          <w:rFonts w:hint="eastAsia" w:ascii="仿宋" w:hAnsi="仿宋" w:eastAsia="仿宋" w:cs="仿宋"/>
          <w:color w:val="000000"/>
          <w:sz w:val="24"/>
          <w:szCs w:val="21"/>
          <w:highlight w:val="none"/>
          <w:u w:val="single"/>
          <w:lang w:eastAsia="zh-CN"/>
        </w:rPr>
        <w:t xml:space="preserve">投标供应商</w:t>
      </w:r>
      <w:r>
        <w:rPr>
          <w:rFonts w:hint="eastAsia" w:ascii="仿宋" w:hAnsi="仿宋" w:eastAsia="仿宋" w:cs="仿宋"/>
          <w:color w:val="000000"/>
          <w:sz w:val="24"/>
          <w:szCs w:val="21"/>
          <w:highlight w:val="none"/>
          <w:u w:val="single"/>
        </w:rPr>
        <w:t xml:space="preserve">须知第</w:t>
      </w:r>
      <w:r>
        <w:rPr>
          <w:rFonts w:hint="eastAsia" w:ascii="仿宋" w:hAnsi="仿宋" w:eastAsia="仿宋" w:cs="仿宋"/>
          <w:color w:val="000000"/>
          <w:sz w:val="24"/>
          <w:szCs w:val="21"/>
          <w:highlight w:val="none"/>
          <w:u w:val="single"/>
          <w:lang w:val="en-US" w:eastAsia="zh-CN"/>
        </w:rPr>
        <w:t xml:space="preserve">26</w:t>
      </w:r>
      <w:r>
        <w:rPr>
          <w:rFonts w:hint="eastAsia" w:ascii="仿宋" w:hAnsi="仿宋" w:eastAsia="仿宋" w:cs="仿宋"/>
          <w:color w:val="000000"/>
          <w:sz w:val="24"/>
          <w:szCs w:val="21"/>
          <w:highlight w:val="none"/>
          <w:u w:val="single"/>
        </w:rPr>
        <w:t xml:space="preserve">.1条“无效投标条款”</w:t>
      </w:r>
      <w:r>
        <w:rPr>
          <w:rFonts w:hint="eastAsia" w:ascii="仿宋" w:hAnsi="仿宋" w:eastAsia="仿宋" w:cs="仿宋"/>
          <w:color w:val="000000"/>
          <w:sz w:val="24"/>
          <w:szCs w:val="21"/>
          <w:highlight w:val="none"/>
        </w:rPr>
        <w:t xml:space="preserve">对投标文件的有效性等进行评审。</w:t>
      </w:r>
      <w:r/>
    </w:p>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outlineLvl w:val="2"/>
      </w:pPr>
      <w:r/>
      <w:bookmarkStart w:id="364" w:name="_Toc18657"/>
      <w:r>
        <w:rPr>
          <w:rFonts w:hint="default" w:ascii="Times New Roman" w:hAnsi="Times New Roman" w:eastAsia="黑体" w:cs="Times New Roman"/>
          <w:color w:val="000000"/>
          <w:sz w:val="24"/>
          <w:szCs w:val="21"/>
          <w:highlight w:val="none"/>
        </w:rPr>
        <w:t xml:space="preserve">1.3响应性审查</w:t>
      </w:r>
      <w:bookmarkEnd w:id="364"/>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对</w:t>
      </w:r>
      <w:r>
        <w:rPr>
          <w:rFonts w:hint="eastAsia" w:ascii="仿宋" w:hAnsi="仿宋" w:eastAsia="仿宋" w:cs="仿宋"/>
          <w:color w:val="000000"/>
          <w:sz w:val="24"/>
          <w:szCs w:val="21"/>
          <w:highlight w:val="none"/>
          <w:lang w:eastAsia="zh-CN"/>
        </w:rPr>
        <w:t xml:space="preserve">采购文件</w:t>
      </w:r>
      <w:r>
        <w:rPr>
          <w:rFonts w:hint="default" w:ascii="仿宋" w:hAnsi="仿宋" w:eastAsia="仿宋" w:cs="仿宋"/>
          <w:color w:val="000000"/>
          <w:sz w:val="24"/>
          <w:szCs w:val="21"/>
          <w:highlight w:val="none"/>
        </w:rPr>
        <w:t xml:space="preserve">要求的</w:t>
      </w:r>
      <w:r>
        <w:rPr>
          <w:rFonts w:hint="eastAsia" w:ascii="仿宋" w:hAnsi="仿宋" w:eastAsia="仿宋" w:cs="仿宋"/>
          <w:color w:val="000000"/>
          <w:sz w:val="24"/>
          <w:szCs w:val="21"/>
          <w:highlight w:val="none"/>
          <w:lang w:val="en-US" w:eastAsia="zh-CN"/>
        </w:rPr>
        <w:t xml:space="preserve">服务期</w:t>
      </w:r>
      <w:r>
        <w:rPr>
          <w:rFonts w:hint="default" w:ascii="仿宋" w:hAnsi="仿宋" w:eastAsia="仿宋" w:cs="仿宋"/>
          <w:color w:val="000000"/>
          <w:sz w:val="24"/>
          <w:szCs w:val="21"/>
          <w:highlight w:val="none"/>
        </w:rPr>
        <w:t xml:space="preserve">、质量及质量目标、履约担保、投标有效期、不可竞争费用等实质性要求的响应性进行评审，未响应的按无效标处理。</w:t>
      </w:r>
      <w:r/>
    </w:p>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outlineLvl w:val="1"/>
      </w:pPr>
      <w:r/>
      <w:bookmarkStart w:id="365" w:name="_Toc20074"/>
      <w:r>
        <w:rPr>
          <w:rFonts w:hint="default" w:ascii="Times New Roman" w:hAnsi="Times New Roman" w:eastAsia="黑体" w:cs="Times New Roman"/>
          <w:color w:val="000000"/>
          <w:sz w:val="24"/>
          <w:szCs w:val="21"/>
          <w:highlight w:val="none"/>
        </w:rPr>
        <w:t xml:space="preserve">2、详细评审</w:t>
      </w:r>
      <w:bookmarkEnd w:id="365"/>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2.1评标委员会对开、清标过程中发现的的情况予以评审，被认定为无效标的投标文件不能进入本阶段评审。</w:t>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2.2商务性评审</w:t>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2.2.1有下列情形之一的，商务性评审不予通过：</w:t>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①不可竞争费费率、规费费率、税率不按规定计取的；②投标函中的投标报价（指大写金额）与开标一览表（清单）不一致且无法确认的；③经评标委员会认定投标供应商的投标报价低于成本价的。注：未通过商务性评审的不得推荐为中标候选人。</w:t>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★2.2.2供应商（申请人）合理报价注意事项：投标供应商投标报价</w:t>
      </w:r>
      <w:r>
        <w:rPr>
          <w:rFonts w:hint="default" w:ascii="仿宋" w:hAnsi="仿宋" w:eastAsia="仿宋" w:cs="仿宋"/>
          <w:color w:val="000000"/>
          <w:sz w:val="24"/>
          <w:szCs w:val="21"/>
          <w:highlight w:val="none"/>
          <w:lang w:val="en-US" w:eastAsia="zh-CN"/>
        </w:rPr>
        <w:t xml:space="preserve">高于</w:t>
      </w:r>
      <w:r>
        <w:rPr>
          <w:rFonts w:hint="default" w:ascii="仿宋" w:hAnsi="仿宋" w:eastAsia="仿宋" w:cs="仿宋"/>
          <w:color w:val="000000"/>
          <w:sz w:val="24"/>
          <w:szCs w:val="21"/>
          <w:highlight w:val="none"/>
        </w:rPr>
        <w:t xml:space="preserve">采购人设定的最高限价的或低于企业成本价的，视其为不以中标为目的的投标，将作为失信行为予以公示。（投标报价低于成本价：当评标委员会发现某投标供应商的投标报价明显低于其他所有通过初步评审的投标供应商的平均报价时，视为其报价存在不能正常履约的风险，将当场质询其法定代表人或其委托代理人，该投标供应商的法定代表人或委托代理人须当场对投标报价的组成作出合理的书面解释并签署，评标委员会认为其解释合理的，予以认可其报价，否则将作出任何有可能不利于该投标供应商本次投标活动的判断且不作中标候选人推荐。）</w:t>
      </w:r>
      <w:r/>
    </w:p>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pPr>
      <w:r>
        <w:rPr>
          <w:rFonts w:hint="default" w:ascii="Times New Roman" w:hAnsi="Times New Roman" w:eastAsia="黑体" w:cs="Times New Roman"/>
          <w:color w:val="000000"/>
          <w:sz w:val="24"/>
          <w:szCs w:val="21"/>
          <w:highlight w:val="none"/>
        </w:rPr>
        <w:t xml:space="preserve">2.3评分标准（综合评分表）</w:t>
      </w:r>
      <w:r/>
    </w:p>
    <w:p>
      <w:pPr>
        <w:pStyle w:val="661"/>
        <w:ind w:firstLine="480"/>
        <w:jc w:val="both"/>
        <w:keepLines w:val="0"/>
        <w:keepNext w:val="0"/>
        <w:pageBreakBefore w:val="0"/>
        <w:spacing w:beforeAutospacing="0" w:afterAutospacing="0" w:line="520" w:lineRule="exact"/>
        <w:widowControl w:val="off"/>
        <w:rPr>
          <w:rFonts w:hint="eastAsia" w:ascii="宋体" w:hAnsi="宋体" w:eastAsia="宋体" w:cs="宋体"/>
          <w:highlight w:val="none"/>
        </w:rPr>
      </w:pPr>
      <w:r>
        <w:rPr>
          <w:rFonts w:hint="default" w:ascii="仿宋" w:hAnsi="仿宋" w:eastAsia="仿宋" w:cs="仿宋"/>
          <w:color w:val="000000"/>
          <w:sz w:val="24"/>
          <w:szCs w:val="21"/>
          <w:highlight w:val="none"/>
        </w:rPr>
        <w:t xml:space="preserve">本项目采用“资格后审”的“综合评分法”确定中标候选人。对通过初步评审的投标文件，评标委员会将按下表评分办法和标准进行评分，总分值为100分。</w:t>
      </w:r>
      <w:r/>
    </w:p>
    <w:tbl>
      <w:tblPr>
        <w:tblStyle w:val="650"/>
        <w:tblW w:w="92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8"/>
        <w:gridCol w:w="598"/>
        <w:gridCol w:w="1297"/>
        <w:gridCol w:w="6100"/>
        <w:gridCol w:w="755"/>
      </w:tblGrid>
      <w:tr>
        <w:trPr>
          <w:jc w:val="center"/>
          <w:trHeight w:val="90"/>
        </w:trPr>
        <w:tc>
          <w:tcPr>
            <w:shd w:val="clear" w:color="auto" w:fill="auto"/>
            <w:tcW w:w="488" w:type="dxa"/>
            <w:vAlign w:val="center"/>
            <w:textDirection w:val="lrTb"/>
            <w:noWrap w:val="false"/>
          </w:tcPr>
          <w:p>
            <w:pPr>
              <w:jc w:val="center"/>
              <w:keepLines w:val="0"/>
              <w:keepNext w:val="0"/>
              <w:widowControl/>
              <w:rPr>
                <w:rFonts w:ascii="仿宋" w:hAnsi="仿宋" w:eastAsia="仿宋" w:cs="仿宋"/>
                <w:i w:val="0"/>
                <w:iCs w:val="0"/>
                <w:color w:val="000000"/>
                <w:sz w:val="24"/>
                <w:szCs w:val="24"/>
                <w:u w:val="none"/>
              </w:rPr>
              <w:suppressLineNumbers w:val="0"/>
            </w:pPr>
            <w:r/>
            <w:bookmarkStart w:id="366" w:name="_Toc25351"/>
            <w:r>
              <w:rPr>
                <w:rFonts w:hint="eastAsia" w:ascii="仿宋" w:hAnsi="仿宋" w:eastAsia="仿宋" w:cs="仿宋"/>
                <w:i w:val="0"/>
                <w:iCs w:val="0"/>
                <w:color w:val="000000"/>
                <w:sz w:val="24"/>
                <w:szCs w:val="24"/>
                <w:u w:val="none"/>
                <w:lang w:val="en-US" w:eastAsia="zh-CN" w:bidi="ar"/>
              </w:rPr>
              <w:t xml:space="preserve">序号</w:t>
            </w:r>
            <w:r/>
          </w:p>
        </w:tc>
        <w:tc>
          <w:tcPr>
            <w:gridSpan w:val="2"/>
            <w:shd w:val="clear" w:color="auto" w:fill="auto"/>
            <w:tcW w:w="189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评分项</w:t>
            </w:r>
            <w:r/>
          </w:p>
        </w:tc>
        <w:tc>
          <w:tcPr>
            <w:shd w:val="clear" w:color="auto" w:fill="auto"/>
            <w:tcW w:w="610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评分细则</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分值</w:t>
            </w:r>
            <w:r/>
          </w:p>
        </w:tc>
      </w:tr>
      <w:tr>
        <w:trPr>
          <w:jc w:val="center"/>
          <w:trHeight w:val="90"/>
        </w:trPr>
        <w:tc>
          <w:tcPr>
            <w:shd w:val="clear" w:color="auto" w:fill="auto"/>
            <w:tcW w:w="48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W w:w="59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价格分</w:t>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投标报价（15分）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投标报价分采用最低价优先法计算，即通过初步评审的投标报价中的最低报价为评标基准价，其报价分为满分，其他投标供应商 的报价分按照下列公式计算：报价得分=（评标基准价/投标报价）×15。</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注：评标委员会认为投标供应商的报价明显过低，有可能影响服务质量或者不能诚信履约的，将要求其在评标现场合理的时间内提供书面说明，必要时提交相关证明材料；投标供应商不能证明其报价合理性的，评标委员将其作为无效投标处理。</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p>
        </w:tc>
      </w:tr>
      <w:tr>
        <w:trPr>
          <w:jc w:val="center"/>
          <w:trHeight w:val="90"/>
        </w:trPr>
        <w:tc>
          <w:tcPr>
            <w:shd w:val="clear" w:color="auto" w:fill="auto"/>
            <w:tcW w:w="48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W w:w="598"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商务分</w:t>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管理体系（6分）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投标人具有质量管理体系认证证书、环境管理体系认证证书、职业健康安全管理体系认证证书的，每具备一项得2分，本项最高得6分。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注：本项须提供有效期内的以上证书扫描件，未提供的不得分。</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r>
      <w:tr>
        <w:trPr>
          <w:jc w:val="center"/>
          <w:trHeight w:val="90"/>
        </w:trPr>
        <w:tc>
          <w:tcPr>
            <w:shd w:val="clear" w:color="auto" w:fill="auto"/>
            <w:tcW w:w="48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W w:w="59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技术分</w:t>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对本项目的理解与分析（10分）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评标专家根据投标人提供的技术方案中的对本项目的理解与分析进行综合评审：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1.是否清晰阐述规划范围（8 个行政村 + 5 个统筹已创成和美乡村）的开发建设现状、风貌基础、基础设施（水、电、路、网）现状、产业发展情况、现有生态与文化资源；</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2.是否准确把握区域未来规划需求（连片整治、要素整合、和美乡村品牌打造）；</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3.是否提供详细的现状分析说明，内容是否贴合项目实际，无泛泛而谈；</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4.对项目核心目标（推进乡村集中连片提升）的认知是否明确具体。</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评分区间：7-10分。</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r>
      <w:tr>
        <w:trPr>
          <w:jc w:val="center"/>
          <w:trHeight w:val="90"/>
        </w:trPr>
        <w:tc>
          <w:tcPr>
            <w:shd w:val="clear" w:color="auto" w:fill="auto"/>
            <w:tcW w:w="48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59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项目重点、难点分析及解决措施（10分）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评标专家根据投标人提供的技术方案中的项目重点、难点分析及解决措施进行综合评审：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1.是否全面分析本项目重点（如跨行政村空间统筹、一二三产融合、基础设施联建共享、乡野风貌营造）；</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2.是否准确识别本项目难点（如镇村行政边界壁垒、村民参与积极性不足、规划与后期建设落地衔接、专项资金细化分配）；</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3.是否结合自身规划经验，提出针对性解决措施，措施是否科学合理、可操作；</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4.是否提供详细的重难点分析内容，对项目相关基础资料的了解是否全面。</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评分区间：7-10分。</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r>
      <w:tr>
        <w:trPr>
          <w:jc w:val="center"/>
          <w:trHeight w:val="90"/>
        </w:trPr>
        <w:tc>
          <w:tcPr>
            <w:shd w:val="clear" w:color="auto" w:fill="auto"/>
            <w:tcW w:w="48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59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调查评估技术方案（11分）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评标专家根据投标人提供的技术方案中的调查评估技术方案进行综合评审：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1.是否明确片区调查内容（含生态资源 &lt;滨水、田园&gt;、产业资源 &lt; 高效农业、特色手工业 &gt;、文化资源 &lt; 乡土民俗、历史遗存 &gt;、基础设施与公共服务设施现状）；</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2.是否阐述调查实施方法（如实地踏勘、村民访谈、部门座谈、GIS 空间分析、国土调查成果比对等）；</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3.是否说明评估逻辑（现状优势 - 现存不足 - 发展机遇 - 潜在挑战），数据来源是否合规（如现场调研数据等）；</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4.方案内容是否详细完整，分析是否科学，能否支撑后续规划编制。</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评分区间：7.7-11分。</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r>
      <w:tr>
        <w:trPr>
          <w:jc w:val="center"/>
          <w:trHeight w:val="90"/>
        </w:trPr>
        <w:tc>
          <w:tcPr>
            <w:shd w:val="clear" w:color="auto" w:fill="auto"/>
            <w:tcW w:w="48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59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进度计划与进度保证措施（10分）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评标专家根据投标人提供的技术方案中的进度计划与进度保证措施进行综合评审：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 项目实施计划是否贴合采购需求要求，是否拆解为具体阶段（如前期调研、初稿编制、征求意见、修改完善、评审验收），时间节点是否合理可行；</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 进度保障措施是否全面（如项目组人员分工、阶段验收机制、资源 &lt;人力、数据、设备&gt; 保障）；</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 是否制定进度延误应急预案（如部门数据提供延迟、村民意见征集周期延长的应对方案）；</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4. 对 2 年跟踪服务的阶段安排是否简要说明，整体进度管理是否无明显漏洞。</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评分区间：7-10分。</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r>
      <w:tr>
        <w:trPr>
          <w:jc w:val="center"/>
          <w:trHeight w:val="90"/>
        </w:trPr>
        <w:tc>
          <w:tcPr>
            <w:shd w:val="clear" w:color="auto" w:fill="auto"/>
            <w:tcW w:w="48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59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质量控制措施与管理方案（10分）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评标专家根据投标人提供的技术方案中的质量控制措施与管理方案进行综合评审：</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1.是否全面分析项目实施各环节安全风险（如野外调研安全、规划成果合规性风险、数据保密风险）；</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2.质量保障措施是否完备科学（如符合国家《城乡规划编制办法》、江苏省和美乡村建设规范，建立 “调查 - 编制 - 审核 - 公示 - 评审” 闭环质控机制）；</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3.现场应急及异常情况（如调研突发天气、成果评审意见分歧）的风险分析是否全面；</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4. 应急处理方案是否科学合理、可实施性强，能否有效保障项目质量与安全实施。</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评分区间：7-10分。</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r>
      <w:tr>
        <w:trPr>
          <w:jc w:val="center"/>
          <w:trHeight w:val="90"/>
        </w:trPr>
        <w:tc>
          <w:tcPr>
            <w:shd w:val="clear" w:color="auto" w:fill="auto"/>
            <w:tcW w:w="48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W w:w="598"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服务分</w:t>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服务业绩（6分）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投标人自2020年1月1日以来（合同签订时间为准）承担过类似国土空间总体规划项目、特色田园规划、宜居宜业村庄规划类项目的业绩的，每提供一个得2分，本项最高得6分。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注：本项须提供项目合同扫描件，未提供的不得分。</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r>
      <w:tr>
        <w:trPr>
          <w:jc w:val="center"/>
          <w:trHeight w:val="90"/>
        </w:trPr>
        <w:tc>
          <w:tcPr>
            <w:shd w:val="clear" w:color="auto" w:fill="auto"/>
            <w:tcW w:w="48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59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297"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项目负责人服务水平（6分）</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rPr>
              <w:t xml:space="preserve">本项目拟派项目负责人具有城市规划（或城乡规划）相关专业副高级及以上职称的，得3分；具有城市规划（或城乡规划）相关专业中级职称的得2分。本项最高得3分。注：</w:t>
            </w:r>
            <w:r>
              <w:rPr>
                <w:rFonts w:hint="eastAsia" w:ascii="仿宋" w:hAnsi="仿宋" w:eastAsia="仿宋" w:cs="仿宋"/>
                <w:i w:val="0"/>
                <w:iCs w:val="0"/>
                <w:color w:val="000000"/>
                <w:sz w:val="24"/>
                <w:szCs w:val="24"/>
                <w:u w:val="none"/>
                <w:lang w:val="en-US" w:eastAsia="zh-CN"/>
              </w:rPr>
              <w:t xml:space="preserve">①</w:t>
            </w:r>
            <w:r>
              <w:rPr>
                <w:rFonts w:hint="eastAsia" w:ascii="仿宋" w:hAnsi="仿宋" w:eastAsia="仿宋" w:cs="仿宋"/>
                <w:i w:val="0"/>
                <w:iCs w:val="0"/>
                <w:color w:val="000000"/>
                <w:sz w:val="24"/>
                <w:szCs w:val="24"/>
                <w:u w:val="none"/>
              </w:rPr>
              <w:t xml:space="preserve">同一人员具备不同等级或不同专业职称的仅计分一次，不重复计分。</w:t>
            </w:r>
            <w:r>
              <w:rPr>
                <w:rFonts w:hint="eastAsia" w:ascii="仿宋" w:hAnsi="仿宋" w:eastAsia="仿宋" w:cs="仿宋"/>
                <w:i w:val="0"/>
                <w:iCs w:val="0"/>
                <w:color w:val="000000"/>
                <w:sz w:val="24"/>
                <w:szCs w:val="24"/>
                <w:u w:val="none"/>
                <w:lang w:val="en-US" w:eastAsia="zh-CN"/>
              </w:rPr>
              <w:t xml:space="preserve">②</w:t>
            </w:r>
            <w:r>
              <w:rPr>
                <w:rFonts w:ascii="仿宋" w:hAnsi="仿宋" w:eastAsia="仿宋" w:cs="仿宋"/>
                <w:color w:val="000000"/>
                <w:sz w:val="24"/>
                <w:szCs w:val="24"/>
              </w:rPr>
              <w:t xml:space="preserve">上述评分项中涉及的人员，均</w:t>
            </w:r>
            <w:r>
              <w:rPr>
                <w:rFonts w:hint="eastAsia" w:ascii="仿宋" w:hAnsi="仿宋" w:eastAsia="仿宋" w:cs="仿宋"/>
                <w:color w:val="000000"/>
                <w:sz w:val="24"/>
                <w:szCs w:val="24"/>
              </w:rPr>
              <w:t xml:space="preserve">须提供近3个月（不含投标当月）任意一个月缴纳社保的证明材料扫描件，未提供的不得分</w:t>
            </w:r>
            <w:r>
              <w:rPr>
                <w:rFonts w:hint="eastAsia" w:ascii="仿宋" w:hAnsi="仿宋" w:eastAsia="仿宋" w:cs="仿宋"/>
                <w:i w:val="0"/>
                <w:iCs w:val="0"/>
                <w:color w:val="000000"/>
                <w:sz w:val="24"/>
                <w:szCs w:val="24"/>
                <w:u w:val="none"/>
              </w:rPr>
              <w:t xml:space="preserve">。</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r>
      <w:tr>
        <w:trPr>
          <w:jc w:val="center"/>
          <w:trHeight w:val="90"/>
        </w:trPr>
        <w:tc>
          <w:tcPr>
            <w:shd w:val="clear" w:color="auto" w:fill="auto"/>
            <w:tcW w:w="48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59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297"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拟投入本项目负责人具有注册城乡规划师执业资格证书的，得3分。本项最高得3分。</w:t>
            </w:r>
            <w:r>
              <w:rPr>
                <w:rFonts w:hint="eastAsia" w:ascii="仿宋" w:hAnsi="仿宋" w:eastAsia="仿宋" w:cs="仿宋"/>
                <w:i w:val="0"/>
                <w:iCs w:val="0"/>
                <w:color w:val="000000"/>
                <w:sz w:val="24"/>
                <w:szCs w:val="24"/>
                <w:u w:val="none"/>
                <w:lang w:val="en-US" w:eastAsia="zh-CN" w:bidi="ar"/>
              </w:rPr>
              <w:br/>
            </w:r>
            <w:r>
              <w:rPr>
                <w:rFonts w:hint="eastAsia" w:ascii="仿宋" w:hAnsi="仿宋" w:eastAsia="仿宋" w:cs="仿宋"/>
                <w:i w:val="0"/>
                <w:iCs w:val="0"/>
                <w:color w:val="000000"/>
                <w:sz w:val="24"/>
                <w:szCs w:val="24"/>
                <w:u w:val="none"/>
                <w:lang w:val="en-US" w:eastAsia="zh-CN" w:bidi="ar"/>
              </w:rPr>
              <w:t xml:space="preserve">注：①本项须提供人员执业资格证书扫描件，未提供的不得分。②</w:t>
            </w:r>
            <w:r>
              <w:rPr>
                <w:rFonts w:ascii="仿宋" w:hAnsi="仿宋" w:eastAsia="仿宋" w:cs="仿宋"/>
                <w:color w:val="000000"/>
                <w:sz w:val="24"/>
                <w:szCs w:val="24"/>
              </w:rPr>
              <w:t xml:space="preserve">上述评分项中涉及的人员，均</w:t>
            </w:r>
            <w:r>
              <w:rPr>
                <w:rFonts w:hint="eastAsia" w:ascii="仿宋" w:hAnsi="仿宋" w:eastAsia="仿宋" w:cs="仿宋"/>
                <w:color w:val="000000"/>
                <w:sz w:val="24"/>
                <w:szCs w:val="24"/>
              </w:rPr>
              <w:t xml:space="preserve">须提供近3个月（不含投标当月）任意一个月缴纳社保的证明材料扫描件，未提供的不得分</w:t>
            </w: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r>
      <w:tr>
        <w:trPr>
          <w:jc w:val="center"/>
          <w:trHeight w:val="90"/>
        </w:trPr>
        <w:tc>
          <w:tcPr>
            <w:shd w:val="clear" w:color="auto" w:fill="auto"/>
            <w:tcW w:w="48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598" w:type="dxa"/>
            <w:vAlign w:val="center"/>
            <w:vMerge w:val="continue"/>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shd w:val="clear" w:color="auto" w:fill="auto"/>
            <w:tcW w:w="129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项目组成员服务水平（16分</w:t>
            </w:r>
            <w:bookmarkStart w:id="431" w:name="_GoBack"/>
            <w:r/>
            <w:bookmarkEnd w:id="431"/>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W w:w="6100"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项目组其他成员（不含项目负责人）具有下列类型证书的，按下列标准赋分：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（1）具有注册城乡规划师执业资格证书的，每配备1人得2分，本条最高得4分；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（2）具备①规划类、②土地管理类、③市政类、④风景园林类相关专业中级及以上专业技术职称的，每配备1类专业中级及以上职称人员得3分，本条最高得12分。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本项最高得分合计16分。</w:t>
            </w:r>
            <w:r/>
          </w:p>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t xml:space="preserve">注：①本项须提供人员证书扫描件方可得分，未提供的不得分。②上述评分项中涉及的人员，均须提供投标当月之前近3个月（不含投标当月）内任意一个月缴纳社保的证明材料扫描件，未提供的不得分。③上述供应商拟配备人员（不含项目负责人）中，同一人员同时具备注册城乡规划师和专业职称证书的仅按最高赋分标准计分一次，不重复累计计分；同一人员具备不同等级（或不同专业）职称证书的仅按最高赋分标准计分一次，不重复累计计分。</w:t>
            </w:r>
            <w:r/>
          </w:p>
        </w:tc>
        <w:tc>
          <w:tcPr>
            <w:shd w:val="clear" w:color="auto" w:fill="auto"/>
            <w:tcW w:w="755" w:type="dxa"/>
            <w:vAlign w:val="center"/>
            <w:textDirection w:val="lrTb"/>
            <w:noWrap w:val="false"/>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4"/>
                <w:szCs w:val="24"/>
                <w:u w:val="none"/>
                <w:lang w:val="en-US" w:eastAsia="zh-CN" w:bidi="ar"/>
              </w:rPr>
              <w:t xml:space="preserve">16</w:t>
            </w:r>
            <w:r/>
          </w:p>
        </w:tc>
      </w:tr>
      <w:tr>
        <w:trPr>
          <w:jc w:val="center"/>
          <w:trHeight w:val="90"/>
        </w:trPr>
        <w:tc>
          <w:tcPr>
            <w:gridSpan w:val="4"/>
            <w:shd w:val="clear" w:color="auto" w:fill="auto"/>
            <w:tcW w:w="848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合计    </w:t>
            </w:r>
            <w:r/>
          </w:p>
        </w:tc>
        <w:tc>
          <w:tcPr>
            <w:shd w:val="clear" w:color="auto" w:fill="auto"/>
            <w:tcW w:w="75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r>
      <w:tr>
        <w:trPr>
          <w:jc w:val="center"/>
          <w:trHeight w:val="90"/>
        </w:trPr>
        <w:tc>
          <w:tcPr>
            <w:gridSpan w:val="5"/>
            <w:shd w:val="clear" w:color="auto" w:fill="auto"/>
            <w:tcW w:w="9238" w:type="dxa"/>
            <w:vAlign w:val="center"/>
            <w:textDirection w:val="lrTb"/>
            <w:noWrap w:val="false"/>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b/>
                <w:bCs/>
                <w:i w:val="0"/>
                <w:iCs w:val="0"/>
                <w:color w:val="ff0000"/>
                <w:sz w:val="24"/>
                <w:szCs w:val="24"/>
                <w:u w:val="none"/>
                <w:lang w:val="en-US" w:eastAsia="zh-CN" w:bidi="ar"/>
              </w:rPr>
              <w:t xml:space="preserve">注：①以上证书材料均应在有效期范围，且发证机关网站未公布为暂停（或无效）状态方可有效。</w:t>
            </w:r>
            <w:r>
              <w:rPr>
                <w:rFonts w:hint="eastAsia" w:ascii="仿宋" w:hAnsi="仿宋" w:eastAsia="仿宋" w:cs="仿宋"/>
                <w:b/>
                <w:bCs/>
                <w:i w:val="0"/>
                <w:iCs w:val="0"/>
                <w:color w:val="ff0000"/>
                <w:sz w:val="24"/>
                <w:szCs w:val="24"/>
                <w:u w:val="none"/>
                <w:lang w:val="en-US" w:eastAsia="zh-CN" w:bidi="ar"/>
              </w:rPr>
              <w:br/>
            </w:r>
            <w:r>
              <w:rPr>
                <w:rFonts w:hint="eastAsia" w:ascii="仿宋" w:hAnsi="仿宋" w:eastAsia="仿宋" w:cs="仿宋"/>
                <w:b/>
                <w:bCs/>
                <w:i w:val="0"/>
                <w:iCs w:val="0"/>
                <w:color w:val="ff0000"/>
                <w:sz w:val="24"/>
                <w:szCs w:val="24"/>
                <w:u w:val="none"/>
                <w:lang w:val="en-US" w:eastAsia="zh-CN" w:bidi="ar"/>
              </w:rPr>
              <w:t xml:space="preserve">②上述提及的扫描件或网络打印件材料均须加盖投标供应商公章。</w:t>
            </w:r>
            <w:r>
              <w:rPr>
                <w:rFonts w:hint="eastAsia" w:ascii="仿宋" w:hAnsi="仿宋" w:eastAsia="仿宋" w:cs="仿宋"/>
                <w:b/>
                <w:bCs/>
                <w:i w:val="0"/>
                <w:iCs w:val="0"/>
                <w:color w:val="ff0000"/>
                <w:sz w:val="24"/>
                <w:szCs w:val="24"/>
                <w:u w:val="none"/>
                <w:lang w:val="en-US" w:eastAsia="zh-CN" w:bidi="ar"/>
              </w:rPr>
              <w:br/>
            </w:r>
            <w:r>
              <w:rPr>
                <w:rFonts w:hint="eastAsia" w:ascii="仿宋" w:hAnsi="仿宋" w:eastAsia="仿宋" w:cs="仿宋"/>
                <w:b/>
                <w:bCs/>
                <w:i w:val="0"/>
                <w:iCs w:val="0"/>
                <w:color w:val="ff0000"/>
                <w:sz w:val="24"/>
                <w:szCs w:val="24"/>
                <w:u w:val="none"/>
                <w:lang w:val="en-US" w:eastAsia="zh-CN" w:bidi="ar"/>
              </w:rPr>
              <w:t xml:space="preserve">③上述评分办法中主观分部分均以0.1分为一个计分点。</w:t>
            </w:r>
            <w:r>
              <w:rPr>
                <w:rFonts w:hint="eastAsia" w:ascii="仿宋" w:hAnsi="仿宋" w:eastAsia="仿宋" w:cs="仿宋"/>
                <w:b/>
                <w:bCs/>
                <w:i w:val="0"/>
                <w:iCs w:val="0"/>
                <w:color w:val="ff0000"/>
                <w:sz w:val="24"/>
                <w:szCs w:val="24"/>
                <w:u w:val="none"/>
                <w:lang w:val="en-US" w:eastAsia="zh-CN" w:bidi="ar"/>
              </w:rPr>
              <w:br/>
            </w:r>
            <w:r>
              <w:rPr>
                <w:rFonts w:hint="eastAsia" w:ascii="仿宋" w:hAnsi="仿宋" w:eastAsia="仿宋" w:cs="仿宋"/>
                <w:b/>
                <w:bCs/>
                <w:i w:val="0"/>
                <w:iCs w:val="0"/>
                <w:color w:val="ff0000"/>
                <w:sz w:val="24"/>
                <w:szCs w:val="24"/>
                <w:u w:val="none"/>
                <w:lang w:val="en-US" w:eastAsia="zh-CN" w:bidi="ar"/>
              </w:rPr>
              <w:t xml:space="preserve">④技术方案、服务方案等方案未提供的不得分，或经评标委员会认定内容极差严重偏离采购需求的也不得分。</w:t>
            </w:r>
            <w:r>
              <w:rPr>
                <w:rFonts w:hint="eastAsia" w:ascii="仿宋" w:hAnsi="仿宋" w:eastAsia="仿宋" w:cs="仿宋"/>
                <w:b/>
                <w:bCs/>
                <w:i w:val="0"/>
                <w:iCs w:val="0"/>
                <w:color w:val="ff0000"/>
                <w:sz w:val="24"/>
                <w:szCs w:val="24"/>
                <w:u w:val="none"/>
                <w:lang w:val="en-US" w:eastAsia="zh-CN" w:bidi="ar"/>
              </w:rPr>
              <w:br/>
            </w:r>
            <w:r>
              <w:rPr>
                <w:rFonts w:hint="eastAsia" w:ascii="仿宋" w:hAnsi="仿宋" w:eastAsia="仿宋" w:cs="仿宋"/>
                <w:b/>
                <w:bCs/>
                <w:i w:val="0"/>
                <w:iCs w:val="0"/>
                <w:color w:val="ff0000"/>
                <w:sz w:val="24"/>
                <w:szCs w:val="24"/>
                <w:u w:val="none"/>
                <w:lang w:val="en-US" w:eastAsia="zh-CN" w:bidi="ar"/>
              </w:rPr>
              <w:t xml:space="preserve">⑤评标时，评标委员会专家仅依据投标供应商在投标时提供的材料评审，投标供应商未提供在投标文件中的材料不作为评审依据，投标供应商须根据《采购文件》（采购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w:t>
            </w:r>
            <w:r>
              <w:rPr>
                <w:rFonts w:hint="eastAsia" w:ascii="仿宋" w:hAnsi="仿宋" w:eastAsia="仿宋" w:cs="仿宋"/>
                <w:b/>
                <w:bCs/>
                <w:i w:val="0"/>
                <w:iCs w:val="0"/>
                <w:color w:val="ff0000"/>
                <w:sz w:val="24"/>
                <w:szCs w:val="24"/>
                <w:u w:val="none"/>
                <w:lang w:val="en-US" w:eastAsia="zh-CN" w:bidi="ar"/>
              </w:rPr>
              <w:br/>
            </w:r>
            <w:r>
              <w:rPr>
                <w:rFonts w:hint="eastAsia" w:ascii="仿宋" w:hAnsi="仿宋" w:eastAsia="仿宋" w:cs="仿宋"/>
                <w:b/>
                <w:bCs/>
                <w:i w:val="0"/>
                <w:iCs w:val="0"/>
                <w:color w:val="ff0000"/>
                <w:sz w:val="24"/>
                <w:szCs w:val="24"/>
                <w:u w:val="none"/>
                <w:lang w:val="en-US" w:eastAsia="zh-CN" w:bidi="ar"/>
              </w:rPr>
              <w:t xml:space="preserve">⑥如有未详尽部分，详见《采购文件》（采购文件）。</w:t>
            </w:r>
            <w:r>
              <w:rPr>
                <w:rFonts w:hint="eastAsia" w:ascii="仿宋" w:hAnsi="仿宋" w:eastAsia="仿宋" w:cs="仿宋"/>
                <w:b/>
                <w:bCs/>
                <w:i w:val="0"/>
                <w:iCs w:val="0"/>
                <w:color w:val="ff0000"/>
                <w:sz w:val="24"/>
                <w:szCs w:val="24"/>
                <w:u w:val="none"/>
                <w:lang w:val="en-US" w:eastAsia="zh-CN" w:bidi="ar"/>
              </w:rPr>
              <w:br/>
            </w:r>
            <w:r>
              <w:rPr>
                <w:rFonts w:hint="eastAsia" w:ascii="仿宋" w:hAnsi="仿宋" w:eastAsia="仿宋" w:cs="仿宋"/>
                <w:b/>
                <w:bCs/>
                <w:i w:val="0"/>
                <w:iCs w:val="0"/>
                <w:color w:val="ff0000"/>
                <w:sz w:val="24"/>
                <w:szCs w:val="24"/>
                <w:u w:val="none"/>
                <w:lang w:val="en-US" w:eastAsia="zh-CN" w:bidi="ar"/>
              </w:rPr>
              <w:t xml:space="preserve">⑦本表中要求加盖公章的部分均可加盖投标供应商系统内电子签章，要求提供复印件的均可使用扫描件。</w:t>
            </w:r>
            <w:r/>
          </w:p>
        </w:tc>
      </w:tr>
    </w:tbl>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outlineLvl w:val="1"/>
      </w:pPr>
      <w:r>
        <w:rPr>
          <w:highlight w:val="none"/>
        </w:rPr>
        <w:t xml:space="preserve"> </w:t>
      </w:r>
      <w:r>
        <w:rPr>
          <w:rFonts w:hint="default" w:ascii="Times New Roman" w:hAnsi="Times New Roman" w:eastAsia="黑体" w:cs="Times New Roman"/>
          <w:color w:val="000000"/>
          <w:sz w:val="24"/>
          <w:szCs w:val="21"/>
          <w:highlight w:val="none"/>
        </w:rPr>
        <w:t xml:space="preserve">3、中标候选人推荐方法：</w:t>
      </w:r>
      <w:bookmarkEnd w:id="366"/>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除符合性（指初步评审中形式评审和响应性审查）、商务性评审未通过的及本文件规定的其他不作中标候选人的情况不得作为中标候选人推荐外，其余按综合评分得分从高到底依次推荐1名中标候选人，如总分得分相同，按报价由低至高顺序排序。如得分最高者不止一个，则得分相同中报价低的为第一中标候选人。如最高得分相同且报价相同者不止一个，则由评标委员会抽签决定第一中标候选人。</w:t>
      </w:r>
      <w:r/>
    </w:p>
    <w:p>
      <w:pPr>
        <w:ind w:firstLine="480"/>
        <w:keepLines w:val="0"/>
        <w:keepNext w:val="0"/>
        <w:pageBreakBefore w:val="0"/>
        <w:spacing w:line="520" w:lineRule="exact"/>
        <w:widowControl w:val="off"/>
        <w:rPr>
          <w:rFonts w:hint="default" w:ascii="Times New Roman" w:hAnsi="Times New Roman" w:eastAsia="黑体" w:cs="Times New Roman"/>
          <w:color w:val="000000"/>
          <w:sz w:val="24"/>
          <w:szCs w:val="21"/>
          <w:highlight w:val="none"/>
        </w:rPr>
        <w:outlineLvl w:val="0"/>
      </w:pPr>
      <w:r/>
      <w:bookmarkStart w:id="367" w:name="_Toc22623"/>
      <w:r/>
      <w:bookmarkStart w:id="368" w:name="_Toc30603"/>
      <w:r/>
      <w:bookmarkStart w:id="369" w:name="_Toc30263"/>
      <w:r/>
      <w:bookmarkStart w:id="370" w:name="_Toc17909"/>
      <w:r/>
      <w:bookmarkStart w:id="371" w:name="_Toc16976"/>
      <w:r>
        <w:rPr>
          <w:rFonts w:hint="default" w:ascii="Times New Roman" w:hAnsi="Times New Roman" w:eastAsia="黑体" w:cs="Times New Roman"/>
          <w:color w:val="000000"/>
          <w:sz w:val="24"/>
          <w:szCs w:val="21"/>
          <w:highlight w:val="none"/>
        </w:rPr>
        <w:t xml:space="preserve">三、其它</w:t>
      </w:r>
      <w:bookmarkEnd w:id="367"/>
      <w:r/>
      <w:bookmarkEnd w:id="368"/>
      <w:r/>
      <w:bookmarkEnd w:id="369"/>
      <w:r/>
      <w:bookmarkEnd w:id="370"/>
      <w:r/>
      <w:bookmarkEnd w:id="371"/>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1.在评标过程中，评标委员会如发现投标供应商的投标报价可能低于其个别成本的，应当要求该投标供应商在规定时间内作出书面澄清，并提供相关材料。投标供应商不能合理说明或者不能提供相关证明材料的，由评标委员会认定该投标供应商以低于成本价竞标，其投标报价作无效报价处理。</w:t>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2.在评标过程中，评委会如发现投标供应商的有效投标报价不足3个，使得投标缺乏竞争的，评委会可以决定否决全部投标，采购人应当依照规定重新招标；评委会如发现投标供应商的有效投标报价不足3个但仍具有竞争性的，可以继续评标或采购人选择重新招标。</w:t>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3.本评标办法未述及的事宜，由评标委员会依据法律法规处置。</w:t>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4.有不符合法律、法规规定，出现《江苏省预防职务犯罪条例》限制情形的，按照规定予以废标处置。</w:t>
      </w:r>
      <w:r/>
    </w:p>
    <w:p>
      <w:pPr>
        <w:ind w:firstLine="480"/>
        <w:keepLines w:val="0"/>
        <w:keepNext w:val="0"/>
        <w:pageBreakBefore w:val="0"/>
        <w:spacing w:line="520" w:lineRule="exact"/>
        <w:widowControl w:val="off"/>
        <w:rPr>
          <w:rFonts w:hint="default" w:ascii="仿宋" w:hAnsi="仿宋" w:eastAsia="仿宋" w:cs="仿宋"/>
          <w:color w:val="000000"/>
          <w:sz w:val="24"/>
          <w:szCs w:val="21"/>
          <w:highlight w:val="none"/>
        </w:rPr>
      </w:pPr>
      <w:r>
        <w:rPr>
          <w:rFonts w:hint="default" w:ascii="仿宋" w:hAnsi="仿宋" w:eastAsia="仿宋" w:cs="仿宋"/>
          <w:color w:val="000000"/>
          <w:sz w:val="24"/>
          <w:szCs w:val="21"/>
          <w:highlight w:val="none"/>
        </w:rPr>
        <w:t xml:space="preserve">5.经审查为虚假材料的，按相关法律、法规要求作无效标处理同时上报行政主管部门予以列入黑名单并予以公示不低于6个月。</w:t>
      </w:r>
      <w:r/>
    </w:p>
    <w:p>
      <w:pPr>
        <w:rPr>
          <w:rFonts w:hint="eastAsia" w:ascii="黑体" w:hAnsi="宋体" w:eastAsia="黑体" w:cs="黑体"/>
          <w:color w:val="000000"/>
          <w:sz w:val="44"/>
          <w:szCs w:val="44"/>
          <w:highlight w:val="none"/>
        </w:rPr>
      </w:pPr>
      <w:r/>
      <w:bookmarkStart w:id="372" w:name="_Toc14834"/>
      <w:r>
        <w:rPr>
          <w:rFonts w:hint="eastAsia" w:ascii="黑体" w:hAnsi="宋体" w:eastAsia="黑体" w:cs="黑体"/>
          <w:color w:val="000000"/>
          <w:sz w:val="44"/>
          <w:szCs w:val="44"/>
          <w:highlight w:val="none"/>
        </w:rPr>
        <w:br w:type="page" w:clear="all"/>
      </w:r>
      <w:r/>
    </w:p>
    <w:p>
      <w:pPr>
        <w:pStyle w:val="661"/>
        <w:jc w:val="center"/>
        <w:keepNext/>
        <w:spacing w:beforeAutospacing="0" w:afterAutospacing="0"/>
        <w:rPr>
          <w:highlight w:val="none"/>
        </w:rPr>
        <w:outlineLvl w:val="0"/>
      </w:pPr>
      <w:r/>
      <w:bookmarkStart w:id="373" w:name="_Toc18305"/>
      <w:r>
        <w:rPr>
          <w:rFonts w:hint="eastAsia" w:ascii="黑体" w:hAnsi="宋体" w:eastAsia="黑体" w:cs="黑体"/>
          <w:color w:val="000000"/>
          <w:sz w:val="44"/>
          <w:szCs w:val="44"/>
          <w:highlight w:val="none"/>
        </w:rPr>
        <w:t xml:space="preserve">第六章  投标文件格式</w:t>
      </w:r>
      <w:bookmarkEnd w:id="372"/>
      <w:r/>
      <w:bookmarkEnd w:id="373"/>
      <w:r>
        <w:rPr>
          <w:rFonts w:hint="eastAsia" w:ascii="黑体" w:hAnsi="宋体" w:eastAsia="黑体" w:cs="黑体"/>
          <w:color w:val="000000"/>
          <w:sz w:val="44"/>
          <w:szCs w:val="44"/>
          <w:highlight w:val="none"/>
        </w:rPr>
        <w:t xml:space="preserve"> </w:t>
      </w:r>
      <w:r/>
    </w:p>
    <w:p>
      <w:pPr>
        <w:pStyle w:val="661"/>
        <w:jc w:val="center"/>
        <w:spacing w:beforeAutospacing="0" w:afterAutospacing="0"/>
        <w:rPr>
          <w:rFonts w:hint="eastAsia" w:ascii="宋体" w:hAnsi="宋体" w:eastAsia="宋体" w:cs="宋体"/>
          <w:b/>
          <w:color w:val="000000"/>
          <w:sz w:val="72"/>
          <w:szCs w:val="72"/>
          <w:highlight w:val="none"/>
        </w:rPr>
      </w:pPr>
      <w:r/>
      <w:bookmarkStart w:id="374" w:name="_Hlt26671244"/>
      <w:r/>
      <w:bookmarkEnd w:id="374"/>
      <w:r/>
      <w:bookmarkStart w:id="375" w:name="_Hlt26955039"/>
      <w:r/>
      <w:bookmarkEnd w:id="375"/>
      <w:r/>
      <w:bookmarkStart w:id="376" w:name="_Toc26554094"/>
      <w:r/>
      <w:bookmarkEnd w:id="376"/>
      <w:r/>
      <w:bookmarkStart w:id="377" w:name="_Toc49090576"/>
      <w:r/>
      <w:bookmarkStart w:id="378" w:name="_Toc120614282"/>
      <w:r/>
      <w:r/>
    </w:p>
    <w:p>
      <w:pPr>
        <w:pStyle w:val="661"/>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1"/>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1"/>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61"/>
        <w:jc w:val="center"/>
        <w:spacing w:beforeAutospacing="0" w:afterAutospacing="0"/>
        <w:rPr>
          <w:highlight w:val="none"/>
        </w:rPr>
        <w:outlineLvl w:val="0"/>
      </w:pPr>
      <w:r/>
      <w:bookmarkStart w:id="379" w:name="_Toc2196"/>
      <w:r/>
      <w:bookmarkStart w:id="380" w:name="_Toc31039"/>
      <w:r>
        <w:rPr>
          <w:rFonts w:hint="eastAsia" w:ascii="宋体" w:hAnsi="宋体" w:eastAsia="宋体" w:cs="宋体"/>
          <w:b/>
          <w:color w:val="000000"/>
          <w:sz w:val="72"/>
          <w:szCs w:val="72"/>
          <w:highlight w:val="none"/>
        </w:rPr>
        <w:t xml:space="preserve">投  标  文  件</w:t>
      </w:r>
      <w:bookmarkEnd w:id="379"/>
      <w:r/>
      <w:bookmarkEnd w:id="380"/>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pStyle w:val="66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61"/>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61"/>
        <w:jc w:val="both"/>
        <w:spacing w:beforeAutospacing="0" w:afterAutospacing="0"/>
        <w:rPr>
          <w:highlight w:val="none"/>
        </w:rPr>
      </w:pPr>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lang w:eastAsia="zh-CN"/>
        </w:rPr>
        <w:t xml:space="preserve">投标供应商</w:t>
      </w:r>
      <w:r>
        <w:rPr>
          <w:rFonts w:hint="eastAsia" w:ascii="宋体" w:hAnsi="宋体" w:eastAsia="宋体" w:cs="宋体"/>
          <w:b/>
          <w:color w:val="000000"/>
          <w:sz w:val="36"/>
          <w:szCs w:val="36"/>
          <w:highlight w:val="none"/>
        </w:rPr>
        <w:t xml:space="preserve">名称 ：</w:t>
      </w:r>
      <w:r>
        <w:rPr>
          <w:rFonts w:hint="eastAsia" w:ascii="宋体" w:hAnsi="宋体" w:eastAsia="宋体" w:cs="宋体"/>
          <w:b/>
          <w:color w:val="000000"/>
          <w:sz w:val="36"/>
          <w:szCs w:val="36"/>
          <w:highlight w:val="none"/>
          <w:u w:val="single"/>
        </w:rPr>
        <w:t xml:space="preserve">（加盖CA电子公章）        </w:t>
      </w:r>
      <w:r/>
    </w:p>
    <w:p>
      <w:pPr>
        <w:pStyle w:val="661"/>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61"/>
        <w:jc w:val="center"/>
        <w:spacing w:beforeAutospacing="0" w:afterAutospacing="0" w:line="0" w:lineRule="atLeast"/>
        <w:rPr>
          <w:highlight w:val="none"/>
        </w:rPr>
      </w:pPr>
      <w:r>
        <w:rPr>
          <w:highlight w:val="none"/>
        </w:rPr>
        <w:t xml:space="preserve"> </w:t>
      </w:r>
      <w:r/>
    </w:p>
    <w:p>
      <w:pPr>
        <w:pStyle w:val="661"/>
        <w:jc w:val="both"/>
        <w:spacing w:beforeAutospacing="0" w:afterAutospacing="0" w:line="0" w:lineRule="atLeast"/>
        <w:rPr>
          <w:highlight w:val="none"/>
        </w:rPr>
      </w:pPr>
      <w:r>
        <w:rPr>
          <w:highlight w:val="none"/>
        </w:rPr>
        <w:t xml:space="preserve"> </w:t>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61"/>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61"/>
        <w:ind w:left="0" w:firstLine="480"/>
        <w:jc w:val="center"/>
        <w:keepLines w:val="0"/>
        <w:keepNext w:val="0"/>
        <w:pageBreakBefore w:val="0"/>
        <w:spacing w:beforeAutospacing="0" w:afterAutospacing="0" w:line="520" w:lineRule="exact"/>
        <w:rPr>
          <w:highlight w:val="none"/>
        </w:rPr>
      </w:pPr>
      <w:r>
        <w:rPr>
          <w:highlight w:val="none"/>
        </w:rPr>
        <w:t xml:space="preserve"> </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left="0" w:firstLine="480"/>
        <w:jc w:val="left"/>
        <w:keepLines w:val="0"/>
        <w:keepNext w:val="0"/>
        <w:pageBreakBefore w:val="0"/>
        <w:spacing w:line="520" w:lineRule="exac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二、上一年度的财务状况报告（至少提供资产负债表、利润表、现金流量表，投标供应商成立不满一年无需提供）</w:t>
      </w:r>
      <w:r/>
    </w:p>
    <w:p>
      <w:pPr>
        <w:pStyle w:val="661"/>
        <w:ind w:left="0" w:firstLine="480"/>
        <w:jc w:val="both"/>
        <w:keepLines w:val="0"/>
        <w:keepNext w:val="0"/>
        <w:pageBreakBefore w:val="0"/>
        <w:spacing w:beforeAutospacing="0" w:afterAutospacing="0" w:line="52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61"/>
        <w:ind w:left="0" w:firstLine="480"/>
        <w:jc w:val="both"/>
        <w:keepLines w:val="0"/>
        <w:keepNext w:val="0"/>
        <w:pageBreakBefore w:val="0"/>
        <w:spacing w:beforeAutospacing="0" w:afterAutospacing="0" w:line="52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000000"/>
          <w:highlight w:val="none"/>
          <w:u w:val="none"/>
          <w:lang w:eastAsia="zh-CN"/>
        </w:rPr>
        <w:t xml:space="preserve">投标供应商</w:t>
      </w:r>
      <w:r>
        <w:rPr>
          <w:rFonts w:hint="eastAsia" w:ascii="宋体" w:hAnsi="宋体" w:eastAsia="宋体" w:cs="宋体"/>
          <w:i w:val="0"/>
          <w:iCs/>
          <w:color w:val="000000"/>
          <w:highlight w:val="none"/>
          <w:u w:val="none"/>
        </w:rPr>
        <w:t xml:space="preserve">依法享受缓缴、免缴税收、社会保障资金的提供证明材料）</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61"/>
        <w:ind w:left="0" w:firstLine="480"/>
        <w:jc w:val="both"/>
        <w:keepLines w:val="0"/>
        <w:keepNext w:val="0"/>
        <w:pageBreakBefore w:val="0"/>
        <w:spacing w:beforeAutospacing="0" w:afterAutospacing="0" w:line="520" w:lineRule="exac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六、未被“信用中国”网站（www.creditchina.gov.cn）列入失信被执行人、重大税收违法案件当事人名单、政府采购严重失信行为记录名单。</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特定资格要求的证明文件（如果本项目设置特定资格要求，则需要提供）</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、法人授权书</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九</w:t>
      </w:r>
      <w:r>
        <w:rPr>
          <w:rFonts w:hint="eastAsia" w:ascii="宋体" w:hAnsi="宋体" w:eastAsia="宋体" w:cs="宋体"/>
          <w:i w:val="0"/>
          <w:iCs/>
          <w:color w:val="000000"/>
          <w:highlight w:val="none"/>
          <w:u w:val="none"/>
        </w:rPr>
        <w:t xml:space="preserve">、投标函</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一</w:t>
      </w:r>
      <w:r>
        <w:rPr>
          <w:rFonts w:hint="eastAsia" w:ascii="宋体" w:hAnsi="宋体" w:eastAsia="宋体" w:cs="宋体"/>
          <w:i w:val="0"/>
          <w:iCs/>
          <w:color w:val="000000"/>
          <w:highlight w:val="none"/>
          <w:u w:val="none"/>
        </w:rPr>
        <w:t xml:space="preserve">、残疾人福利性单位声明函</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、投标分项报价表</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left="0" w:firstLine="480"/>
        <w:keepLines w:val="0"/>
        <w:keepNext w:val="0"/>
        <w:pageBreakBefore w:val="0"/>
        <w:spacing w:line="520" w:lineRule="exact"/>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661"/>
        <w:ind w:left="0" w:firstLine="480"/>
        <w:jc w:val="both"/>
        <w:keepLines w:val="0"/>
        <w:keepNext w:val="0"/>
        <w:pageBreakBefore w:val="0"/>
        <w:spacing w:beforeAutospacing="0" w:afterAutospacing="0" w:line="520" w:lineRule="exac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66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61"/>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61"/>
        <w:ind w:firstLine="480"/>
        <w:jc w:val="both"/>
        <w:spacing w:beforeAutospacing="0" w:afterAutospacing="0" w:line="0" w:lineRule="atLeast"/>
        <w:rPr>
          <w:highlight w:val="none"/>
        </w:rPr>
      </w:pPr>
      <w:r>
        <w:rPr>
          <w:highlight w:val="none"/>
        </w:rPr>
        <w:t xml:space="preserve"> </w:t>
      </w:r>
      <w:r/>
    </w:p>
    <w:p>
      <w:pPr>
        <w:pStyle w:val="661"/>
        <w:ind w:firstLine="480"/>
        <w:jc w:val="both"/>
        <w:spacing w:beforeAutospacing="0" w:afterAutospacing="0" w:line="0" w:lineRule="atLeast"/>
        <w:rPr>
          <w:highlight w:val="none"/>
        </w:rPr>
      </w:pPr>
      <w:r>
        <w:rPr>
          <w:highlight w:val="none"/>
        </w:rPr>
        <w:t xml:space="preserve"> </w:t>
      </w:r>
      <w:r/>
    </w:p>
    <w:p>
      <w:pPr>
        <w:pStyle w:val="661"/>
        <w:ind w:firstLine="480"/>
        <w:jc w:val="both"/>
        <w:spacing w:beforeAutospacing="0" w:afterAutospacing="0" w:line="0" w:lineRule="atLeast"/>
        <w:rPr>
          <w:highlight w:val="none"/>
        </w:rPr>
      </w:pPr>
      <w:r>
        <w:rPr>
          <w:highlight w:val="none"/>
        </w:rPr>
        <w:t xml:space="preserve"> </w:t>
      </w:r>
      <w:r/>
    </w:p>
    <w:p>
      <w:pPr>
        <w:pStyle w:val="661"/>
        <w:ind w:firstLine="480"/>
        <w:jc w:val="center"/>
        <w:spacing w:beforeAutospacing="0" w:afterAutospacing="0" w:line="0" w:lineRule="atLeast"/>
        <w:rPr>
          <w:highlight w:val="none"/>
        </w:rPr>
        <w:outlineLvl w:val="0"/>
      </w:pPr>
      <w:r/>
      <w:bookmarkStart w:id="381" w:name="_Toc15879"/>
      <w:r/>
      <w:bookmarkStart w:id="382" w:name="_Toc24735"/>
      <w:r>
        <w:rPr>
          <w:rFonts w:hint="eastAsia" w:ascii="黑体" w:hAnsi="宋体" w:eastAsia="黑体" w:cs="黑体"/>
          <w:i/>
          <w:color w:val="000000"/>
          <w:sz w:val="32"/>
          <w:szCs w:val="32"/>
          <w:highlight w:val="none"/>
          <w:u w:val="single"/>
        </w:rPr>
        <w:t xml:space="preserve">一、法人或者其他组织的营业执照等证明文件，自然人的身份证明</w:t>
      </w:r>
      <w:bookmarkEnd w:id="381"/>
      <w:r/>
      <w:bookmarkEnd w:id="382"/>
      <w:r/>
      <w:r/>
    </w:p>
    <w:p>
      <w:pPr>
        <w:pStyle w:val="661"/>
        <w:ind w:firstLine="480"/>
        <w:jc w:val="both"/>
        <w:spacing w:beforeAutospacing="0" w:afterAutospacing="0" w:line="0" w:lineRule="atLeast"/>
        <w:rPr>
          <w:highlight w:val="none"/>
        </w:rPr>
      </w:pPr>
      <w:r>
        <w:rPr>
          <w:highlight w:val="none"/>
        </w:rPr>
        <w:t xml:space="preserve"> </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1"/>
        <w:jc w:val="center"/>
        <w:spacing w:beforeAutospacing="0" w:afterAutospacing="0"/>
        <w:rPr>
          <w:rFonts w:hint="eastAsia" w:eastAsia="黑体"/>
          <w:highlight w:val="none"/>
          <w:lang w:val="en-US" w:eastAsia="zh-CN"/>
        </w:rPr>
        <w:outlineLvl w:val="0"/>
      </w:pPr>
      <w:r/>
      <w:bookmarkStart w:id="383" w:name="_Toc11362"/>
      <w:r/>
      <w:bookmarkStart w:id="384" w:name="_Toc13269"/>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bookmarkEnd w:id="383"/>
      <w:r/>
      <w:bookmarkEnd w:id="384"/>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（至少提供资产负债表、利润表、现金流量表，投标供应商成立不满一年无需提供）</w:t>
      </w:r>
      <w:r/>
    </w:p>
    <w:p>
      <w:pPr>
        <w:pStyle w:val="661"/>
        <w:jc w:val="both"/>
        <w:spacing w:beforeAutospacing="0" w:afterAutospacing="0"/>
        <w:rPr>
          <w:highlight w:val="none"/>
        </w:rPr>
      </w:pPr>
      <w:r>
        <w:rPr>
          <w:highlight w:val="none"/>
        </w:rPr>
        <w:t xml:space="preserve"> </w:t>
      </w:r>
      <w:r/>
    </w:p>
    <w:p>
      <w:pPr>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br w:type="page" w:clear="all"/>
      </w:r>
      <w:r/>
    </w:p>
    <w:p>
      <w:pPr>
        <w:pStyle w:val="661"/>
        <w:jc w:val="center"/>
        <w:spacing w:beforeAutospacing="0" w:afterAutospacing="0"/>
        <w:rPr>
          <w:highlight w:val="none"/>
        </w:rPr>
        <w:outlineLvl w:val="0"/>
      </w:pPr>
      <w:r/>
      <w:bookmarkStart w:id="385" w:name="_Toc24939"/>
      <w:r/>
      <w:bookmarkStart w:id="386" w:name="_Toc7270"/>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bookmarkEnd w:id="385"/>
      <w:r/>
      <w:bookmarkEnd w:id="386"/>
      <w:r/>
      <w:r/>
    </w:p>
    <w:p>
      <w:pPr>
        <w:pStyle w:val="661"/>
        <w:ind w:firstLine="560"/>
        <w:jc w:val="both"/>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p>
    <w:p>
      <w:pPr>
        <w:pStyle w:val="661"/>
        <w:ind w:firstLine="560"/>
        <w:jc w:val="both"/>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主要设备有：</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p>
    <w:p>
      <w:pPr>
        <w:pStyle w:val="661"/>
        <w:ind w:firstLine="560"/>
        <w:jc w:val="both"/>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主要专业技术能力有：</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w:t>
      </w:r>
      <w:r/>
    </w:p>
    <w:p>
      <w:pPr>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br w:type="page" w:clear="all"/>
      </w:r>
      <w:r/>
    </w:p>
    <w:p>
      <w:pPr>
        <w:pStyle w:val="661"/>
        <w:jc w:val="center"/>
        <w:spacing w:beforeAutospacing="0" w:afterAutospacing="0"/>
        <w:rPr>
          <w:highlight w:val="none"/>
        </w:rPr>
        <w:outlineLvl w:val="0"/>
      </w:pPr>
      <w:r/>
      <w:bookmarkStart w:id="387" w:name="_Toc1958"/>
      <w:r/>
      <w:bookmarkStart w:id="388" w:name="_Toc30554"/>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bookmarkEnd w:id="387"/>
      <w:r/>
      <w:bookmarkEnd w:id="388"/>
      <w:r/>
      <w:r/>
    </w:p>
    <w:p>
      <w:pPr>
        <w:pStyle w:val="661"/>
        <w:ind w:firstLine="480"/>
        <w:jc w:val="both"/>
        <w:spacing w:beforeAutospacing="0" w:afterAutospacing="0"/>
        <w:rPr>
          <w:highlight w:val="none"/>
        </w:rPr>
      </w:pPr>
      <w:r/>
      <w:bookmarkStart w:id="389"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w:t>
      </w:r>
      <w:r>
        <w:rPr>
          <w:rFonts w:hint="eastAsia" w:ascii="宋体" w:hAnsi="宋体" w:eastAsia="宋体" w:cs="宋体"/>
          <w:color w:val="000000"/>
          <w:highlight w:val="none"/>
          <w:lang w:eastAsia="zh-CN"/>
        </w:rPr>
        <w:t xml:space="preserve">投标供应商</w:t>
      </w:r>
      <w:r>
        <w:rPr>
          <w:rFonts w:hint="eastAsia" w:ascii="宋体" w:hAnsi="宋体" w:eastAsia="宋体" w:cs="宋体"/>
          <w:color w:val="000000"/>
          <w:highlight w:val="none"/>
        </w:rPr>
        <w:t xml:space="preserve">依法享受缓缴、免缴税收、社会保障资金的提供证明材料。</w:t>
      </w:r>
      <w:bookmarkEnd w:id="389"/>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1"/>
        <w:jc w:val="both"/>
        <w:spacing w:beforeAutospacing="0" w:afterAutospacing="0"/>
        <w:rPr>
          <w:highlight w:val="none"/>
        </w:rPr>
        <w:outlineLvl w:val="0"/>
      </w:pPr>
      <w:r/>
      <w:bookmarkStart w:id="390" w:name="_Toc13421"/>
      <w:r/>
      <w:bookmarkStart w:id="391" w:name="_Toc13927"/>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bookmarkEnd w:id="390"/>
      <w:r/>
      <w:bookmarkEnd w:id="391"/>
      <w:r/>
      <w:r/>
    </w:p>
    <w:p>
      <w:pPr>
        <w:pStyle w:val="661"/>
        <w:jc w:val="center"/>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661"/>
        <w:jc w:val="both"/>
        <w:spacing w:beforeAutospacing="0" w:afterAutospacing="0" w:line="0" w:lineRule="atLeast"/>
        <w:rPr>
          <w:sz w:val="28"/>
          <w:szCs w:val="28"/>
          <w:highlight w:val="none"/>
        </w:rPr>
      </w:pPr>
      <w:r>
        <w:rPr>
          <w:rFonts w:hint="eastAsia" w:ascii="宋体" w:hAnsi="宋体" w:eastAsia="宋体" w:cs="宋体"/>
          <w:b/>
          <w:color w:val="000000"/>
          <w:highlight w:val="none"/>
        </w:rPr>
        <w:t xml:space="preserve">  </w:t>
      </w: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61"/>
        <w:jc w:val="both"/>
        <w:spacing w:beforeAutospacing="0" w:afterAutospacing="0"/>
        <w:rPr>
          <w:highlight w:val="none"/>
        </w:rPr>
      </w:pPr>
      <w:r>
        <w:rPr>
          <w:highlight w:val="none"/>
        </w:rPr>
        <w:t xml:space="preserve"> </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1"/>
        <w:jc w:val="center"/>
        <w:spacing w:beforeAutospacing="0" w:afterAutospacing="0"/>
        <w:rPr>
          <w:rFonts w:hint="eastAsia" w:ascii="黑体" w:hAnsi="宋体" w:eastAsia="黑体" w:cs="黑体"/>
          <w:i/>
          <w:color w:val="000000"/>
          <w:sz w:val="32"/>
          <w:szCs w:val="32"/>
          <w:highlight w:val="none"/>
          <w:u w:val="single"/>
          <w:lang w:eastAsia="zh-CN"/>
        </w:rPr>
      </w:pPr>
      <w:r>
        <w:rPr>
          <w:rFonts w:hint="eastAsia" w:ascii="黑体" w:hAnsi="宋体" w:eastAsia="黑体" w:cs="黑体"/>
          <w:i/>
          <w:color w:val="000000"/>
          <w:sz w:val="32"/>
          <w:szCs w:val="32"/>
          <w:highlight w:val="none"/>
          <w:u w:val="single"/>
        </w:rPr>
        <w:t xml:space="preserve">六、未被“信用中国”网站（www.creditchina.gov.cn）列入失信被执行人、重大税收违法案件当事人名单、政府采购严重失信行为记录名单。</w:t>
      </w:r>
      <w:r>
        <w:rPr>
          <w:rFonts w:hint="eastAsia" w:ascii="黑体" w:hAnsi="宋体" w:eastAsia="黑体" w:cs="黑体"/>
          <w:i/>
          <w:color w:val="000000"/>
          <w:sz w:val="32"/>
          <w:szCs w:val="32"/>
          <w:highlight w:val="none"/>
          <w:u w:val="single"/>
          <w:lang w:eastAsia="zh-CN"/>
        </w:rPr>
        <w:t xml:space="preserve">（</w:t>
      </w:r>
      <w:r>
        <w:rPr>
          <w:rFonts w:hint="eastAsia" w:ascii="黑体" w:hAnsi="宋体" w:eastAsia="黑体" w:cs="黑体"/>
          <w:i/>
          <w:color w:val="000000"/>
          <w:sz w:val="32"/>
          <w:szCs w:val="32"/>
          <w:highlight w:val="none"/>
          <w:u w:val="single"/>
          <w:lang w:val="en-US" w:eastAsia="zh-CN"/>
        </w:rPr>
        <w:t xml:space="preserve">提供信用中国网页截图或信用中国下载的信用报告</w:t>
      </w:r>
      <w:r>
        <w:rPr>
          <w:rFonts w:hint="eastAsia" w:ascii="黑体" w:hAnsi="宋体" w:eastAsia="黑体" w:cs="黑体"/>
          <w:i/>
          <w:color w:val="000000"/>
          <w:sz w:val="32"/>
          <w:szCs w:val="32"/>
          <w:highlight w:val="none"/>
          <w:u w:val="single"/>
          <w:lang w:eastAsia="zh-CN"/>
        </w:rPr>
        <w:t xml:space="preserve">）</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1"/>
        <w:jc w:val="center"/>
        <w:spacing w:beforeAutospacing="0" w:afterAutospacing="0"/>
        <w:rPr>
          <w:highlight w:val="none"/>
        </w:rPr>
        <w:outlineLvl w:val="0"/>
      </w:pPr>
      <w:r/>
      <w:bookmarkStart w:id="392" w:name="_Toc8165"/>
      <w:r/>
      <w:bookmarkStart w:id="393" w:name="_Toc16688"/>
      <w:r>
        <w:rPr>
          <w:rFonts w:hint="eastAsia" w:ascii="黑体" w:hAnsi="宋体" w:eastAsia="黑体" w:cs="黑体"/>
          <w:i/>
          <w:color w:val="000000"/>
          <w:sz w:val="32"/>
          <w:szCs w:val="32"/>
          <w:highlight w:val="none"/>
          <w:u w:val="single"/>
          <w:lang w:val="en-US" w:eastAsia="zh-CN"/>
        </w:rPr>
        <w:t xml:space="preserve">七、</w:t>
      </w:r>
      <w:r>
        <w:rPr>
          <w:rFonts w:hint="eastAsia" w:ascii="黑体" w:hAnsi="宋体" w:eastAsia="黑体" w:cs="黑体"/>
          <w:i/>
          <w:color w:val="000000"/>
          <w:sz w:val="32"/>
          <w:szCs w:val="32"/>
          <w:highlight w:val="none"/>
          <w:u w:val="single"/>
        </w:rPr>
        <w:t xml:space="preserve">特定资格要求的证明文件</w:t>
      </w:r>
      <w:bookmarkEnd w:id="392"/>
      <w:r/>
      <w:bookmarkEnd w:id="393"/>
      <w:r/>
      <w:r/>
    </w:p>
    <w:p>
      <w:pPr>
        <w:pStyle w:val="661"/>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61"/>
        <w:jc w:val="both"/>
        <w:spacing w:beforeAutospacing="0" w:afterAutospacing="0" w:line="0" w:lineRule="atLeast"/>
        <w:rPr>
          <w:highlight w:val="none"/>
        </w:rPr>
      </w:pPr>
      <w:r>
        <w:rPr>
          <w:highlight w:val="none"/>
        </w:rPr>
        <w:t xml:space="preserve"> </w:t>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61"/>
        <w:jc w:val="center"/>
        <w:spacing w:beforeAutospacing="0" w:afterAutospacing="0"/>
        <w:rPr>
          <w:highlight w:val="none"/>
        </w:rPr>
        <w:outlineLvl w:val="0"/>
      </w:pPr>
      <w:r/>
      <w:bookmarkStart w:id="394" w:name="_Toc1422"/>
      <w:r/>
      <w:bookmarkStart w:id="395" w:name="_Toc13287"/>
      <w:r>
        <w:rPr>
          <w:rFonts w:hint="eastAsia" w:ascii="黑体" w:hAnsi="宋体" w:eastAsia="黑体" w:cs="黑体"/>
          <w:i/>
          <w:color w:val="000000"/>
          <w:sz w:val="32"/>
          <w:szCs w:val="32"/>
          <w:highlight w:val="none"/>
          <w:u w:val="single"/>
          <w:lang w:val="en-US" w:eastAsia="zh-CN"/>
        </w:rPr>
        <w:t xml:space="preserve">八</w:t>
      </w:r>
      <w:r>
        <w:rPr>
          <w:rFonts w:hint="eastAsia" w:ascii="黑体" w:hAnsi="宋体" w:eastAsia="黑体" w:cs="黑体"/>
          <w:i/>
          <w:color w:val="000000"/>
          <w:sz w:val="32"/>
          <w:szCs w:val="32"/>
          <w:highlight w:val="none"/>
          <w:u w:val="single"/>
        </w:rPr>
        <w:t xml:space="preserve">、法人授权书</w:t>
      </w:r>
      <w:bookmarkEnd w:id="394"/>
      <w:r/>
      <w:bookmarkEnd w:id="395"/>
      <w:r/>
      <w:r/>
    </w:p>
    <w:p>
      <w:pPr>
        <w:pStyle w:val="661"/>
        <w:ind w:firstLine="560"/>
        <w:jc w:val="both"/>
        <w:keepLines w:val="0"/>
        <w:keepNext w:val="0"/>
        <w:pageBreakBefore w:val="0"/>
        <w:spacing w:beforeAutospacing="0" w:afterAutospacing="0" w:line="360" w:lineRule="auto"/>
        <w:widowControl w:val="off"/>
        <w:tabs>
          <w:tab w:val="left" w:pos="360" w:leader="none"/>
        </w:tabs>
        <w:rPr>
          <w:sz w:val="28"/>
          <w:szCs w:val="28"/>
          <w:highlight w:val="none"/>
        </w:rPr>
      </w:pPr>
      <w:r>
        <w:rPr>
          <w:rFonts w:ascii="Times New Roman" w:hAnsi="Times New Roman"/>
          <w:color w:val="000000"/>
          <w:sz w:val="28"/>
          <w:szCs w:val="28"/>
          <w:highlight w:val="none"/>
        </w:rPr>
        <w:t xml:space="preserve">本授权书声明：____________（</w:t>
      </w:r>
      <w:r>
        <w:rPr>
          <w:rFonts w:hint="eastAsia" w:ascii="Times New Roman" w:hAnsi="Times New Roman"/>
          <w:color w:val="000000"/>
          <w:sz w:val="28"/>
          <w:szCs w:val="28"/>
          <w:highlight w:val="none"/>
          <w:lang w:eastAsia="zh-CN"/>
        </w:rPr>
        <w:t xml:space="preserve">投标供应商</w:t>
      </w:r>
      <w:r>
        <w:rPr>
          <w:rFonts w:ascii="Times New Roman" w:hAnsi="Times New Roman"/>
          <w:color w:val="000000"/>
          <w:sz w:val="28"/>
          <w:szCs w:val="28"/>
          <w:highlight w:val="none"/>
        </w:rPr>
        <w:t xml:space="preserve">名称）授权________________（被授权人的姓名）为我方就JSZC-</w:t>
      </w:r>
      <w:r>
        <w:rPr>
          <w:rFonts w:ascii="Times New Roman" w:hAnsi="Times New Roman"/>
          <w:color w:val="000000"/>
          <w:sz w:val="28"/>
          <w:szCs w:val="28"/>
          <w:highlight w:val="none"/>
          <w:u w:val="single"/>
        </w:rPr>
        <w:t xml:space="preserve">        </w:t>
      </w:r>
      <w:r>
        <w:rPr>
          <w:rFonts w:ascii="Times New Roman" w:hAnsi="Times New Roman"/>
          <w:color w:val="000000"/>
          <w:sz w:val="28"/>
          <w:szCs w:val="28"/>
          <w:highlight w:val="none"/>
        </w:rPr>
        <w:t xml:space="preserve">号项目采购活动的合法代理人，以本单位名义全权处理一切与该项目采购有关的事务。</w:t>
      </w:r>
      <w:r/>
    </w:p>
    <w:p>
      <w:pPr>
        <w:pStyle w:val="661"/>
        <w:ind w:firstLine="560"/>
        <w:jc w:val="both"/>
        <w:keepLines w:val="0"/>
        <w:keepNext w:val="0"/>
        <w:pageBreakBefore w:val="0"/>
        <w:spacing w:beforeAutospacing="0" w:afterAutospacing="0" w:line="360" w:lineRule="auto"/>
        <w:widowControl w:val="off"/>
        <w:tabs>
          <w:tab w:val="left" w:pos="360" w:leader="none"/>
        </w:tabs>
        <w:rPr>
          <w:sz w:val="28"/>
          <w:szCs w:val="28"/>
          <w:highlight w:val="none"/>
        </w:rPr>
      </w:pPr>
      <w:r>
        <w:rPr>
          <w:rFonts w:ascii="Times New Roman" w:hAnsi="Times New Roman"/>
          <w:color w:val="000000"/>
          <w:sz w:val="28"/>
          <w:szCs w:val="28"/>
          <w:highlight w:val="none"/>
        </w:rPr>
        <w:t xml:space="preserve">本授权书于______年____月____日起生效，特此声明。</w:t>
      </w:r>
      <w:r/>
    </w:p>
    <w:p>
      <w:pPr>
        <w:pStyle w:val="661"/>
        <w:ind w:firstLine="560"/>
        <w:jc w:val="both"/>
        <w:keepLines w:val="0"/>
        <w:keepNext w:val="0"/>
        <w:pageBreakBefore w:val="0"/>
        <w:spacing w:beforeAutospacing="0" w:afterAutospacing="0" w:line="360" w:lineRule="auto"/>
        <w:widowControl w:val="off"/>
        <w:tabs>
          <w:tab w:val="left" w:pos="360" w:leader="none"/>
        </w:tabs>
        <w:rPr>
          <w:sz w:val="28"/>
          <w:szCs w:val="28"/>
          <w:highlight w:val="none"/>
        </w:rPr>
      </w:pPr>
      <w:r>
        <w:rPr>
          <w:rFonts w:ascii="Times New Roman" w:hAnsi="Times New Roman"/>
          <w:color w:val="000000"/>
          <w:sz w:val="28"/>
          <w:szCs w:val="28"/>
          <w:highlight w:val="none"/>
        </w:rPr>
        <w:t xml:space="preserve">          被授权人身份证号码：</w:t>
      </w:r>
      <w:r>
        <w:rPr>
          <w:rFonts w:ascii="Times New Roman" w:hAnsi="Times New Roman"/>
          <w:color w:val="000000"/>
          <w:sz w:val="28"/>
          <w:szCs w:val="28"/>
          <w:highlight w:val="none"/>
          <w:u w:val="single"/>
        </w:rPr>
        <w:t xml:space="preserve">                              </w:t>
      </w:r>
      <w:r/>
    </w:p>
    <w:p>
      <w:pPr>
        <w:pStyle w:val="661"/>
        <w:ind w:firstLine="560"/>
        <w:jc w:val="both"/>
        <w:keepLines w:val="0"/>
        <w:keepNext w:val="0"/>
        <w:pageBreakBefore w:val="0"/>
        <w:spacing w:beforeAutospacing="0" w:afterAutospacing="0" w:line="360" w:lineRule="auto"/>
        <w:widowControl w:val="off"/>
        <w:tabs>
          <w:tab w:val="left" w:pos="360" w:leader="none"/>
        </w:tabs>
        <w:rPr>
          <w:sz w:val="28"/>
          <w:szCs w:val="28"/>
          <w:highlight w:val="none"/>
        </w:rPr>
      </w:pPr>
      <w:r>
        <w:rPr>
          <w:rFonts w:ascii="Times New Roman" w:hAnsi="Times New Roman"/>
          <w:color w:val="000000"/>
          <w:sz w:val="28"/>
          <w:szCs w:val="28"/>
          <w:highlight w:val="none"/>
        </w:rPr>
        <w:t xml:space="preserve">          被授权人联系电话：（手机）</w:t>
      </w:r>
      <w:r>
        <w:rPr>
          <w:rFonts w:ascii="Times New Roman" w:hAnsi="Times New Roman"/>
          <w:color w:val="000000"/>
          <w:sz w:val="28"/>
          <w:szCs w:val="28"/>
          <w:highlight w:val="none"/>
          <w:u w:val="single"/>
        </w:rPr>
        <w:t xml:space="preserve">                          </w:t>
      </w:r>
      <w:r/>
    </w:p>
    <w:p>
      <w:pPr>
        <w:pStyle w:val="661"/>
        <w:ind w:firstLine="560"/>
        <w:jc w:val="both"/>
        <w:keepLines w:val="0"/>
        <w:keepNext w:val="0"/>
        <w:pageBreakBefore w:val="0"/>
        <w:spacing w:beforeAutospacing="0" w:afterAutospacing="0" w:line="360" w:lineRule="auto"/>
        <w:widowControl w:val="off"/>
        <w:tabs>
          <w:tab w:val="left" w:pos="360" w:leader="none"/>
        </w:tabs>
        <w:rPr>
          <w:sz w:val="28"/>
          <w:szCs w:val="28"/>
          <w:highlight w:val="none"/>
        </w:rPr>
      </w:pPr>
      <w:r>
        <w:rPr>
          <w:rFonts w:ascii="Times New Roman" w:hAnsi="Times New Roman"/>
          <w:color w:val="000000"/>
          <w:sz w:val="28"/>
          <w:szCs w:val="28"/>
          <w:highlight w:val="none"/>
        </w:rPr>
        <w:t xml:space="preserve">授权单位名称：</w:t>
      </w:r>
      <w:r>
        <w:rPr>
          <w:rFonts w:ascii="Times New Roman" w:hAnsi="Times New Roman"/>
          <w:color w:val="000000"/>
          <w:sz w:val="28"/>
          <w:szCs w:val="28"/>
          <w:highlight w:val="none"/>
          <w:u w:val="single"/>
        </w:rPr>
        <w:t xml:space="preserve">（加盖CA电子公章）</w:t>
      </w:r>
      <w:r/>
    </w:p>
    <w:p>
      <w:pPr>
        <w:pStyle w:val="661"/>
        <w:ind w:firstLine="560"/>
        <w:jc w:val="both"/>
        <w:keepLines w:val="0"/>
        <w:keepNext w:val="0"/>
        <w:pageBreakBefore w:val="0"/>
        <w:spacing w:beforeAutospacing="0" w:afterAutospacing="0" w:line="360" w:lineRule="auto"/>
        <w:widowControl w:val="off"/>
        <w:tabs>
          <w:tab w:val="left" w:pos="360" w:leader="none"/>
        </w:tabs>
        <w:rPr>
          <w:sz w:val="28"/>
          <w:szCs w:val="28"/>
          <w:highlight w:val="none"/>
        </w:rPr>
      </w:pPr>
      <w:r>
        <w:rPr>
          <w:rFonts w:ascii="Times New Roman" w:hAnsi="Times New Roman"/>
          <w:color w:val="000000"/>
          <w:sz w:val="28"/>
          <w:szCs w:val="28"/>
          <w:highlight w:val="none"/>
        </w:rPr>
        <w:t xml:space="preserve">      单位地址：</w:t>
      </w:r>
      <w:r>
        <w:rPr>
          <w:rFonts w:ascii="Times New Roman" w:hAnsi="Times New Roman"/>
          <w:color w:val="000000"/>
          <w:sz w:val="28"/>
          <w:szCs w:val="28"/>
          <w:highlight w:val="none"/>
          <w:u w:val="single"/>
        </w:rPr>
        <w:t xml:space="preserve">                                         </w:t>
      </w:r>
      <w:r/>
    </w:p>
    <w:p>
      <w:pPr>
        <w:pStyle w:val="661"/>
        <w:ind w:firstLine="560"/>
        <w:jc w:val="both"/>
        <w:keepLines w:val="0"/>
        <w:keepNext w:val="0"/>
        <w:pageBreakBefore w:val="0"/>
        <w:spacing w:beforeAutospacing="0" w:afterAutospacing="0" w:line="360" w:lineRule="auto"/>
        <w:widowControl w:val="off"/>
        <w:tabs>
          <w:tab w:val="left" w:pos="360" w:leader="none"/>
        </w:tabs>
        <w:rPr>
          <w:sz w:val="28"/>
          <w:szCs w:val="28"/>
          <w:highlight w:val="none"/>
        </w:rPr>
      </w:pPr>
      <w:r>
        <w:rPr>
          <w:rFonts w:ascii="Times New Roman" w:hAnsi="Times New Roman"/>
          <w:color w:val="000000"/>
          <w:sz w:val="28"/>
          <w:szCs w:val="28"/>
          <w:highlight w:val="none"/>
        </w:rPr>
        <w:t xml:space="preserve">      日期：</w:t>
      </w:r>
      <w:bookmarkStart w:id="396" w:name="_Hlt26955070"/>
      <w:r/>
      <w:bookmarkStart w:id="397" w:name="_Hlt26671380"/>
      <w:r/>
      <w:bookmarkStart w:id="398" w:name="_格式3__银行出具的资信证明"/>
      <w:r>
        <w:rPr>
          <w:rFonts w:ascii="Times New Roman" w:hAnsi="Times New Roman"/>
          <w:color w:val="000000"/>
          <w:sz w:val="28"/>
          <w:szCs w:val="28"/>
          <w:highlight w:val="none"/>
          <w:u w:val="single"/>
        </w:rPr>
        <w:t xml:space="preserve">                                         </w:t>
      </w:r>
      <w:r/>
    </w:p>
    <w:p>
      <w:pPr>
        <w:pStyle w:val="661"/>
        <w:ind w:firstLine="420"/>
        <w:jc w:val="both"/>
        <w:spacing w:beforeAutospacing="0" w:afterAutospacing="0"/>
        <w:rPr>
          <w:highlight w:val="none"/>
        </w:rPr>
      </w:pPr>
      <w:r>
        <w:rPr>
          <w:highlight w:val="none"/>
        </w:rPr>
        <w:t xml:space="preserve"> </w:t>
      </w:r>
      <w:r/>
    </w:p>
    <w:p>
      <w:pPr>
        <w:pStyle w:val="661"/>
        <w:jc w:val="both"/>
        <w:spacing w:beforeAutospacing="0" w:afterAutospacing="0"/>
        <w:rPr>
          <w:highlight w:val="none"/>
        </w:rPr>
      </w:pPr>
      <w:r>
        <w:rPr>
          <w:highlight w:val="none"/>
        </w:rPr>
        <w:t xml:space="preserve"> </w:t>
      </w:r>
      <w:r/>
    </w:p>
    <w:p>
      <w:pPr>
        <w:pStyle w:val="661"/>
        <w:jc w:val="both"/>
        <w:spacing w:beforeAutospacing="0" w:afterAutospacing="0" w:line="0" w:lineRule="atLeast"/>
        <w:rPr>
          <w:highlight w:val="none"/>
        </w:rPr>
      </w:pPr>
      <w:r>
        <w:rPr>
          <w:highlight w:val="none"/>
        </w:rPr>
        <w:t xml:space="preserve"> </w:t>
      </w:r>
      <w:r/>
    </w:p>
    <w:p>
      <w:pPr>
        <w:pStyle w:val="661"/>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outlineLvl w:val="0"/>
      </w:pPr>
      <w:r>
        <w:rPr>
          <w:rFonts w:hint="eastAsia" w:ascii="宋体" w:hAnsi="宋体" w:eastAsia="宋体" w:cs="宋体"/>
          <w:b/>
          <w:color w:val="000000"/>
          <w:highlight w:val="none"/>
        </w:rPr>
        <w:br w:type="page" w:clear="all"/>
      </w:r>
      <w:bookmarkStart w:id="399" w:name="_Toc31002"/>
      <w:r/>
      <w:bookmarkStart w:id="400" w:name="_Toc19630"/>
      <w:r>
        <w:rPr>
          <w:rFonts w:hint="eastAsia" w:ascii="宋体" w:hAnsi="宋体" w:eastAsia="宋体" w:cs="宋体"/>
          <w:b/>
          <w:color w:val="000000"/>
          <w:highlight w:val="none"/>
        </w:rPr>
        <w:t xml:space="preserve"> </w:t>
      </w:r>
      <w:r>
        <w:rPr>
          <w:rFonts w:hint="eastAsia" w:ascii="黑体" w:hAnsi="宋体" w:eastAsia="黑体" w:cs="黑体"/>
          <w:b/>
          <w:color w:val="000000"/>
          <w:sz w:val="32"/>
          <w:szCs w:val="32"/>
          <w:highlight w:val="none"/>
          <w:lang w:val="en-US" w:eastAsia="zh-CN"/>
        </w:rPr>
        <w:t xml:space="preserve">九</w:t>
      </w:r>
      <w:r>
        <w:rPr>
          <w:rFonts w:hint="eastAsia" w:ascii="黑体" w:hAnsi="宋体" w:eastAsia="黑体" w:cs="黑体"/>
          <w:b/>
          <w:color w:val="000000"/>
          <w:sz w:val="32"/>
          <w:szCs w:val="32"/>
          <w:highlight w:val="none"/>
        </w:rPr>
        <w:t xml:space="preserve">、投标函</w:t>
      </w:r>
      <w:bookmarkEnd w:id="399"/>
      <w:r/>
      <w:bookmarkEnd w:id="400"/>
      <w:r/>
      <w:r/>
    </w:p>
    <w:p>
      <w:pPr>
        <w:pStyle w:val="661"/>
        <w:ind w:left="0" w:firstLine="560"/>
        <w:keepLines w:val="0"/>
        <w:keepNext w:val="0"/>
        <w:pageBreakBefore w:val="0"/>
        <w:spacing w:beforeAutospacing="0" w:afterAutospacing="0" w:line="336" w:lineRule="auto"/>
        <w:widowControl w:val="off"/>
        <w:rPr>
          <w:rFonts w:hint="eastAsia" w:eastAsia="宋体"/>
          <w:sz w:val="28"/>
          <w:szCs w:val="28"/>
          <w:highlight w:val="none"/>
          <w:u w:val="single"/>
          <w:lang w:eastAsia="zh-CN"/>
        </w:rPr>
      </w:pPr>
      <w:r>
        <w:rPr>
          <w:rFonts w:hint="eastAsia" w:ascii="宋体" w:hAnsi="宋体" w:eastAsia="宋体" w:cs="宋体"/>
          <w:color w:val="000000"/>
          <w:sz w:val="28"/>
          <w:szCs w:val="28"/>
          <w:highlight w:val="none"/>
        </w:rPr>
        <w:t xml:space="preserve">致：</w:t>
      </w:r>
      <w:r>
        <w:rPr>
          <w:rFonts w:hint="eastAsia" w:ascii="宋体" w:hAnsi="宋体" w:eastAsia="宋体" w:cs="宋体"/>
          <w:color w:val="000000"/>
          <w:sz w:val="28"/>
          <w:szCs w:val="28"/>
          <w:highlight w:val="none"/>
          <w:u w:val="single"/>
          <w:lang w:eastAsia="zh-CN"/>
        </w:rPr>
        <w:t xml:space="preserve">（</w:t>
      </w:r>
      <w:r>
        <w:rPr>
          <w:rFonts w:hint="eastAsia" w:ascii="宋体" w:hAnsi="宋体" w:eastAsia="宋体" w:cs="宋体"/>
          <w:color w:val="000000"/>
          <w:sz w:val="28"/>
          <w:szCs w:val="28"/>
          <w:highlight w:val="none"/>
          <w:u w:val="single"/>
          <w:lang w:val="en-US" w:eastAsia="zh-CN"/>
        </w:rPr>
        <w:t xml:space="preserve">招标人名称</w:t>
      </w:r>
      <w:r>
        <w:rPr>
          <w:rFonts w:hint="eastAsia" w:ascii="宋体" w:hAnsi="宋体" w:eastAsia="宋体" w:cs="宋体"/>
          <w:color w:val="000000"/>
          <w:sz w:val="28"/>
          <w:szCs w:val="28"/>
          <w:highlight w:val="none"/>
          <w:u w:val="single"/>
          <w:lang w:eastAsia="zh-CN"/>
        </w:rPr>
        <w:t xml:space="preserve">）</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根据贵方的JSZC-320922-JSJS-G2025-0008号</w:t>
      </w:r>
      <w:r>
        <w:rPr>
          <w:rFonts w:hint="eastAsia" w:ascii="宋体" w:hAnsi="宋体" w:eastAsia="宋体" w:cs="宋体"/>
          <w:color w:val="000000"/>
          <w:sz w:val="28"/>
          <w:szCs w:val="28"/>
          <w:highlight w:val="none"/>
          <w:lang w:eastAsia="zh-CN"/>
        </w:rPr>
        <w:t xml:space="preserve">采购文件</w:t>
      </w:r>
      <w:r>
        <w:rPr>
          <w:rFonts w:hint="eastAsia" w:ascii="宋体" w:hAnsi="宋体" w:eastAsia="宋体" w:cs="宋体"/>
          <w:color w:val="000000"/>
          <w:sz w:val="28"/>
          <w:szCs w:val="28"/>
          <w:highlight w:val="none"/>
        </w:rPr>
        <w:t xml:space="preserve">，正式授权下述签字人______(姓名)代表我方______________（</w:t>
      </w:r>
      <w:r>
        <w:rPr>
          <w:rFonts w:hint="eastAsia" w:ascii="宋体" w:hAnsi="宋体" w:eastAsia="宋体" w:cs="宋体"/>
          <w:color w:val="000000"/>
          <w:sz w:val="28"/>
          <w:szCs w:val="28"/>
          <w:highlight w:val="none"/>
          <w:lang w:eastAsia="zh-CN"/>
        </w:rPr>
        <w:t xml:space="preserve">投标供应商</w:t>
      </w:r>
      <w:r>
        <w:rPr>
          <w:rFonts w:hint="eastAsia" w:ascii="宋体" w:hAnsi="宋体" w:eastAsia="宋体" w:cs="宋体"/>
          <w:color w:val="000000"/>
          <w:sz w:val="28"/>
          <w:szCs w:val="28"/>
          <w:highlight w:val="none"/>
        </w:rPr>
        <w:t xml:space="preserve">的名称），全权处理本次项目投标的有关事宜。</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据此函，__________签字人兹宣布同意如下：</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1.按</w:t>
      </w:r>
      <w:r>
        <w:rPr>
          <w:rFonts w:hint="eastAsia" w:ascii="宋体" w:hAnsi="宋体" w:eastAsia="宋体" w:cs="宋体"/>
          <w:color w:val="000000"/>
          <w:sz w:val="28"/>
          <w:szCs w:val="28"/>
          <w:highlight w:val="none"/>
          <w:lang w:eastAsia="zh-CN"/>
        </w:rPr>
        <w:t xml:space="preserve">采购文件</w:t>
      </w:r>
      <w:r>
        <w:rPr>
          <w:rFonts w:hint="eastAsia" w:ascii="宋体" w:hAnsi="宋体" w:eastAsia="宋体" w:cs="宋体"/>
          <w:color w:val="000000"/>
          <w:sz w:val="28"/>
          <w:szCs w:val="28"/>
          <w:highlight w:val="none"/>
        </w:rPr>
        <w:t xml:space="preserve">规定的各项要求，向买方提供所需服务（包含与服务相关的货物）。</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2.我们完全理解贵方不一定将合同授予最低报价的</w:t>
      </w:r>
      <w:r>
        <w:rPr>
          <w:rFonts w:hint="eastAsia" w:ascii="宋体" w:hAnsi="宋体" w:eastAsia="宋体" w:cs="宋体"/>
          <w:color w:val="000000"/>
          <w:sz w:val="28"/>
          <w:szCs w:val="28"/>
          <w:highlight w:val="none"/>
          <w:lang w:eastAsia="zh-CN"/>
        </w:rPr>
        <w:t xml:space="preserve">投标供应商</w:t>
      </w:r>
      <w:r>
        <w:rPr>
          <w:rFonts w:hint="eastAsia" w:ascii="宋体" w:hAnsi="宋体" w:eastAsia="宋体" w:cs="宋体"/>
          <w:color w:val="000000"/>
          <w:sz w:val="28"/>
          <w:szCs w:val="28"/>
          <w:highlight w:val="none"/>
        </w:rPr>
        <w:t xml:space="preserve">。</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3.我们已详细审核全部</w:t>
      </w:r>
      <w:r>
        <w:rPr>
          <w:rFonts w:hint="eastAsia" w:ascii="宋体" w:hAnsi="宋体" w:eastAsia="宋体" w:cs="宋体"/>
          <w:color w:val="000000"/>
          <w:sz w:val="28"/>
          <w:szCs w:val="28"/>
          <w:highlight w:val="none"/>
          <w:lang w:eastAsia="zh-CN"/>
        </w:rPr>
        <w:t xml:space="preserve">采购文件</w:t>
      </w:r>
      <w:r>
        <w:rPr>
          <w:rFonts w:hint="eastAsia" w:ascii="宋体" w:hAnsi="宋体" w:eastAsia="宋体" w:cs="宋体"/>
          <w:color w:val="000000"/>
          <w:sz w:val="28"/>
          <w:szCs w:val="28"/>
          <w:highlight w:val="none"/>
        </w:rPr>
        <w:t xml:space="preserve">及其有效补充文件，我们知道必须放弃提出含糊不清或误解问题的权利。</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4.我们同意从规定的开标日期起遵循本投标文件，并在规定的投标有效期期满之前均具有约束力。</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5.同意向贵方提供贵方可能另外要求的与投标有关的任何证据或资料，并保证我方已提供和将要提供的文件是真实的、准确的。</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6.一旦我方中标,我方将根据</w:t>
      </w:r>
      <w:r>
        <w:rPr>
          <w:rFonts w:hint="eastAsia" w:ascii="宋体" w:hAnsi="宋体" w:eastAsia="宋体" w:cs="宋体"/>
          <w:color w:val="000000"/>
          <w:sz w:val="28"/>
          <w:szCs w:val="28"/>
          <w:highlight w:val="none"/>
          <w:lang w:eastAsia="zh-CN"/>
        </w:rPr>
        <w:t xml:space="preserve">采购文件</w:t>
      </w:r>
      <w:r>
        <w:rPr>
          <w:rFonts w:hint="eastAsia" w:ascii="宋体" w:hAnsi="宋体" w:eastAsia="宋体" w:cs="宋体"/>
          <w:color w:val="000000"/>
          <w:sz w:val="28"/>
          <w:szCs w:val="28"/>
          <w:highlight w:val="none"/>
        </w:rPr>
        <w:t xml:space="preserve">的规定，严格履行合同的责任和义务,并保证在</w:t>
      </w:r>
      <w:r>
        <w:rPr>
          <w:rFonts w:hint="eastAsia" w:ascii="宋体" w:hAnsi="宋体" w:eastAsia="宋体" w:cs="宋体"/>
          <w:color w:val="000000"/>
          <w:sz w:val="28"/>
          <w:szCs w:val="28"/>
          <w:highlight w:val="none"/>
          <w:lang w:eastAsia="zh-CN"/>
        </w:rPr>
        <w:t xml:space="preserve">采购文件</w:t>
      </w:r>
      <w:r>
        <w:rPr>
          <w:rFonts w:hint="eastAsia" w:ascii="宋体" w:hAnsi="宋体" w:eastAsia="宋体" w:cs="宋体"/>
          <w:color w:val="000000"/>
          <w:sz w:val="28"/>
          <w:szCs w:val="28"/>
          <w:highlight w:val="none"/>
        </w:rPr>
        <w:t xml:space="preserve">规定的时间完成项目，交付买方验收、使用。</w:t>
      </w:r>
      <w:r/>
    </w:p>
    <w:p>
      <w:pPr>
        <w:pStyle w:val="661"/>
        <w:ind w:left="0" w:firstLine="560"/>
        <w:keepLines w:val="0"/>
        <w:keepNext w:val="0"/>
        <w:pageBreakBefore w:val="0"/>
        <w:spacing w:beforeAutospacing="0" w:afterAutospacing="0" w:line="336" w:lineRule="auto"/>
        <w:widowControl w:val="off"/>
        <w:rPr>
          <w:sz w:val="28"/>
          <w:szCs w:val="28"/>
          <w:highlight w:val="none"/>
        </w:rPr>
      </w:pPr>
      <w:r>
        <w:rPr>
          <w:rFonts w:hint="eastAsia" w:ascii="宋体" w:hAnsi="宋体" w:eastAsia="宋体" w:cs="宋体"/>
          <w:color w:val="000000"/>
          <w:sz w:val="28"/>
          <w:szCs w:val="28"/>
          <w:highlight w:val="none"/>
        </w:rPr>
        <w:t xml:space="preserve">7.与本投标有关的正式通讯地址为：</w:t>
      </w:r>
      <w:r/>
    </w:p>
    <w:p>
      <w:pPr>
        <w:pStyle w:val="661"/>
        <w:ind w:left="0" w:firstLine="560"/>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地          址：</w:t>
      </w:r>
      <w:r/>
    </w:p>
    <w:p>
      <w:pPr>
        <w:pStyle w:val="661"/>
        <w:ind w:left="0" w:firstLine="560"/>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邮          编：</w:t>
      </w:r>
      <w:r/>
    </w:p>
    <w:p>
      <w:pPr>
        <w:pStyle w:val="661"/>
        <w:ind w:left="0" w:firstLine="560"/>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电          话：</w:t>
      </w:r>
      <w:r/>
    </w:p>
    <w:p>
      <w:pPr>
        <w:pStyle w:val="661"/>
        <w:ind w:left="0" w:firstLine="560"/>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传          真：</w:t>
      </w:r>
      <w:r/>
    </w:p>
    <w:p>
      <w:pPr>
        <w:pStyle w:val="661"/>
        <w:ind w:left="0" w:firstLine="560"/>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lang w:eastAsia="zh-CN"/>
        </w:rPr>
        <w:t xml:space="preserve">投标供应商</w:t>
      </w:r>
      <w:r>
        <w:rPr>
          <w:rFonts w:hint="eastAsia" w:ascii="宋体" w:hAnsi="宋体" w:eastAsia="宋体" w:cs="宋体"/>
          <w:color w:val="000000"/>
          <w:sz w:val="28"/>
          <w:szCs w:val="28"/>
          <w:highlight w:val="none"/>
        </w:rPr>
        <w:t xml:space="preserve">开户行：</w:t>
      </w:r>
      <w:r/>
    </w:p>
    <w:p>
      <w:pPr>
        <w:pStyle w:val="661"/>
        <w:ind w:left="0" w:firstLine="560"/>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账          号： </w:t>
      </w:r>
      <w:r/>
    </w:p>
    <w:p>
      <w:pPr>
        <w:pStyle w:val="661"/>
        <w:ind w:left="0" w:firstLine="560"/>
        <w:jc w:val="right"/>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日  期：________年____月____日</w:t>
      </w:r>
      <w:r/>
    </w:p>
    <w:p>
      <w:pPr>
        <w:rPr>
          <w:rFonts w:hint="eastAsia" w:ascii="黑体" w:hAnsi="宋体" w:eastAsia="黑体" w:cs="黑体"/>
          <w:b/>
          <w:color w:val="auto"/>
          <w:sz w:val="32"/>
          <w:szCs w:val="32"/>
          <w:highlight w:val="none"/>
          <w:lang w:val="en-US" w:eastAsia="zh-CN"/>
        </w:rPr>
      </w:pPr>
      <w:r/>
      <w:bookmarkStart w:id="401" w:name="_Toc3526"/>
      <w:r>
        <w:rPr>
          <w:rFonts w:hint="eastAsia" w:ascii="黑体" w:hAnsi="宋体" w:eastAsia="黑体" w:cs="黑体"/>
          <w:b/>
          <w:color w:val="auto"/>
          <w:sz w:val="32"/>
          <w:szCs w:val="32"/>
          <w:highlight w:val="none"/>
          <w:lang w:val="en-US" w:eastAsia="zh-CN"/>
        </w:rPr>
        <w:br w:type="page" w:clear="all"/>
      </w:r>
      <w:r/>
    </w:p>
    <w:p>
      <w:pPr>
        <w:pStyle w:val="661"/>
        <w:jc w:val="center"/>
        <w:spacing w:beforeAutospacing="0" w:afterAutospacing="0" w:line="0" w:lineRule="atLeast"/>
        <w:rPr>
          <w:color w:val="auto"/>
          <w:highlight w:val="none"/>
        </w:rPr>
        <w:outlineLvl w:val="0"/>
      </w:pPr>
      <w:r/>
      <w:bookmarkStart w:id="402" w:name="_Toc32273"/>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bookmarkEnd w:id="401"/>
      <w:r/>
      <w:bookmarkEnd w:id="402"/>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1"/>
        <w:ind w:right="720"/>
        <w:jc w:val="both"/>
        <w:spacing w:beforeAutospacing="0" w:afterAutospacing="0" w:line="0" w:lineRule="atLeast"/>
        <w:rPr>
          <w:color w:val="auto"/>
          <w:highlight w:val="none"/>
        </w:rPr>
      </w:pPr>
      <w:r>
        <w:rPr>
          <w:color w:val="auto"/>
          <w:highlight w:val="none"/>
        </w:rPr>
        <w:t xml:space="preserve"> </w:t>
      </w:r>
      <w:r/>
    </w:p>
    <w:p>
      <w:pPr>
        <w:pStyle w:val="661"/>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61"/>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61"/>
        <w:ind w:firstLine="240"/>
        <w:jc w:val="both"/>
        <w:spacing w:beforeAutospacing="0" w:afterAutospacing="0" w:line="0" w:lineRule="atLeast"/>
        <w:rPr>
          <w:color w:val="auto"/>
          <w:highlight w:val="none"/>
        </w:rPr>
      </w:pPr>
      <w:r>
        <w:rPr>
          <w:color w:val="auto"/>
          <w:highlight w:val="none"/>
        </w:rPr>
        <w:t xml:space="preserve"> </w:t>
      </w:r>
      <w:r/>
    </w:p>
    <w:p>
      <w:pPr>
        <w:pStyle w:val="6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1"/>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1"/>
        <w:jc w:val="center"/>
        <w:spacing w:beforeAutospacing="0" w:afterAutospacing="0" w:line="0" w:lineRule="atLeast"/>
        <w:rPr>
          <w:highlight w:val="none"/>
        </w:rPr>
        <w:outlineLvl w:val="0"/>
      </w:pPr>
      <w:r>
        <w:rPr>
          <w:rFonts w:hint="eastAsia" w:ascii="黑体" w:hAnsi="宋体" w:eastAsia="黑体" w:cs="黑体"/>
          <w:b/>
          <w:color w:val="auto"/>
          <w:sz w:val="32"/>
          <w:szCs w:val="32"/>
          <w:highlight w:val="none"/>
        </w:rPr>
        <w:br w:type="page" w:clear="all"/>
      </w:r>
      <w:bookmarkStart w:id="403" w:name="_Toc11046"/>
      <w:r/>
      <w:bookmarkStart w:id="404" w:name="_Toc19283"/>
      <w:r>
        <w:rPr>
          <w:rFonts w:hint="eastAsia" w:ascii="黑体" w:hAnsi="宋体" w:eastAsia="黑体" w:cs="黑体"/>
          <w:b/>
          <w:color w:val="000000"/>
          <w:sz w:val="32"/>
          <w:szCs w:val="32"/>
          <w:highlight w:val="none"/>
        </w:rPr>
        <w:t xml:space="preserve"> 十、残疾人福利性单位声明函</w:t>
      </w:r>
      <w:bookmarkEnd w:id="403"/>
      <w:r/>
      <w:bookmarkEnd w:id="404"/>
      <w:r/>
      <w:r/>
    </w:p>
    <w:p>
      <w:pPr>
        <w:pStyle w:val="661"/>
        <w:ind w:right="0" w:firstLine="560"/>
        <w:jc w:val="both"/>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highlight w:val="none"/>
          <w:lang w:eastAsia="zh-CN"/>
        </w:rPr>
        <w:t xml:space="preserve">〔2017〕141号</w:t>
      </w:r>
      <w:r>
        <w:rPr>
          <w:rFonts w:hint="eastAsia" w:ascii="宋体" w:hAnsi="宋体" w:eastAsia="宋体" w:cs="宋体"/>
          <w:color w:val="000000"/>
          <w:sz w:val="28"/>
          <w:szCs w:val="28"/>
          <w:highlight w:val="none"/>
        </w:rPr>
        <w:t xml:space="preserve">）的规定，本单位为符合条件的残疾人福利性单位，且本单位参加______单位的采购文件编号为______的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项目（分包号：JSZC-320922-JSJS-G2025-0008）采购活动由本单位提供服务。</w:t>
      </w:r>
      <w:r/>
    </w:p>
    <w:p>
      <w:pPr>
        <w:pStyle w:val="661"/>
        <w:ind w:right="0" w:firstLine="560"/>
        <w:jc w:val="both"/>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pStyle w:val="661"/>
        <w:ind w:right="0" w:firstLine="560"/>
        <w:jc w:val="both"/>
        <w:keepLines w:val="0"/>
        <w:keepNext w:val="0"/>
        <w:pageBreakBefore w:val="0"/>
        <w:spacing w:beforeAutospacing="0" w:afterAutospacing="0" w:line="360" w:lineRule="auto"/>
        <w:widowControl w:val="off"/>
        <w:rPr>
          <w:sz w:val="28"/>
          <w:szCs w:val="28"/>
          <w:highlight w:val="none"/>
        </w:rPr>
      </w:pPr>
      <w:r>
        <w:rPr>
          <w:sz w:val="28"/>
          <w:szCs w:val="28"/>
          <w:highlight w:val="none"/>
        </w:rPr>
        <w:t xml:space="preserve"> </w:t>
      </w:r>
      <w:r/>
    </w:p>
    <w:p>
      <w:pPr>
        <w:pStyle w:val="661"/>
        <w:ind w:right="0" w:firstLine="560"/>
        <w:jc w:val="both"/>
        <w:keepLines w:val="0"/>
        <w:keepNext w:val="0"/>
        <w:pageBreakBefore w:val="0"/>
        <w:spacing w:beforeAutospacing="0" w:afterAutospacing="0" w:line="360" w:lineRule="auto"/>
        <w:widowControl w:val="off"/>
        <w:rPr>
          <w:rFonts w:hint="eastAsia" w:eastAsia="宋体"/>
          <w:sz w:val="28"/>
          <w:szCs w:val="28"/>
          <w:highlight w:val="none"/>
          <w:lang w:eastAsia="zh-CN"/>
        </w:rPr>
      </w:pPr>
      <w:r>
        <w:rPr>
          <w:rFonts w:hint="eastAsia" w:ascii="宋体" w:hAnsi="宋体" w:eastAsia="宋体" w:cs="宋体"/>
          <w:color w:val="000000"/>
          <w:sz w:val="28"/>
          <w:szCs w:val="28"/>
          <w:highlight w:val="none"/>
        </w:rPr>
        <w:t xml:space="preserve">备注：1、供应商如不提供此声明函，价格将不做相应扣除</w:t>
      </w:r>
      <w:r>
        <w:rPr>
          <w:rFonts w:hint="eastAsia" w:ascii="宋体" w:hAnsi="宋体" w:eastAsia="宋体" w:cs="宋体"/>
          <w:color w:val="000000"/>
          <w:sz w:val="28"/>
          <w:szCs w:val="28"/>
          <w:highlight w:val="none"/>
          <w:lang w:eastAsia="zh-CN"/>
        </w:rPr>
        <w:t xml:space="preserve">（如项目全面面向中小企业，则资格审查不通过）。</w:t>
      </w:r>
      <w:r/>
    </w:p>
    <w:p>
      <w:pPr>
        <w:pStyle w:val="661"/>
        <w:ind w:right="0" w:firstLine="560"/>
        <w:jc w:val="both"/>
        <w:keepLines w:val="0"/>
        <w:keepNext w:val="0"/>
        <w:pageBreakBefore w:val="0"/>
        <w:spacing w:beforeAutospacing="0" w:afterAutospacing="0" w:line="360" w:lineRule="auto"/>
        <w:widowControl w:val="off"/>
        <w:rPr>
          <w:sz w:val="28"/>
          <w:szCs w:val="28"/>
          <w:highlight w:val="none"/>
        </w:rPr>
      </w:pPr>
      <w:r>
        <w:rPr>
          <w:rFonts w:hint="eastAsia" w:ascii="宋体" w:hAnsi="宋体" w:eastAsia="宋体" w:cs="宋体"/>
          <w:color w:val="000000"/>
          <w:sz w:val="28"/>
          <w:szCs w:val="28"/>
          <w:highlight w:val="none"/>
        </w:rPr>
        <w:t xml:space="preserve">2、中标人为残疾人福利单位的，此声明函将随中标结果同时公告，接受社会监督</w:t>
      </w:r>
      <w:r/>
    </w:p>
    <w:p>
      <w:pPr>
        <w:pStyle w:val="661"/>
        <w:ind w:right="0" w:firstLine="560"/>
        <w:jc w:val="both"/>
        <w:keepLines w:val="0"/>
        <w:keepNext w:val="0"/>
        <w:pageBreakBefore w:val="0"/>
        <w:spacing w:beforeAutospacing="0" w:afterAutospacing="0" w:line="360" w:lineRule="auto"/>
        <w:widowControl w:val="off"/>
        <w:rPr>
          <w:sz w:val="28"/>
          <w:szCs w:val="28"/>
          <w:highlight w:val="none"/>
        </w:rPr>
      </w:pPr>
      <w:r>
        <w:rPr>
          <w:sz w:val="28"/>
          <w:szCs w:val="28"/>
          <w:highlight w:val="none"/>
        </w:rPr>
        <w:t xml:space="preserve"> </w:t>
      </w:r>
      <w:r/>
    </w:p>
    <w:p>
      <w:pPr>
        <w:pStyle w:val="661"/>
        <w:ind w:right="0" w:firstLine="640"/>
        <w:jc w:val="center"/>
        <w:keepLines w:val="0"/>
        <w:keepNext w:val="0"/>
        <w:pageBreakBefore w:val="0"/>
        <w:spacing w:beforeAutospacing="0" w:afterAutospacing="0" w:line="360" w:lineRule="auto"/>
        <w:widowControl w:val="off"/>
        <w:tabs>
          <w:tab w:val="left" w:pos="4864" w:leader="none"/>
        </w:tabs>
        <w:rPr>
          <w:sz w:val="28"/>
          <w:szCs w:val="28"/>
          <w:highlight w:val="none"/>
        </w:rPr>
      </w:pPr>
      <w:r>
        <w:rPr>
          <w:rFonts w:ascii="仿宋_GB2312" w:eastAsia="仿宋_GB2312" w:cs="仿宋_GB2312"/>
          <w:color w:val="000000"/>
          <w:sz w:val="32"/>
          <w:szCs w:val="32"/>
          <w:highlight w:val="none"/>
        </w:rPr>
        <w:t xml:space="preserve">             </w:t>
      </w:r>
      <w:r>
        <w:rPr>
          <w:rFonts w:hint="eastAsia" w:ascii="宋体" w:hAnsi="宋体" w:eastAsia="宋体" w:cs="宋体"/>
          <w:color w:val="000000"/>
          <w:sz w:val="28"/>
          <w:szCs w:val="28"/>
          <w:highlight w:val="none"/>
        </w:rPr>
        <w:t xml:space="preserve">          供应商全称（加盖CA电子公章）：</w:t>
      </w:r>
      <w:r/>
    </w:p>
    <w:p>
      <w:pPr>
        <w:pStyle w:val="661"/>
        <w:ind w:right="0" w:firstLine="560"/>
        <w:jc w:val="center"/>
        <w:keepLines w:val="0"/>
        <w:keepNext w:val="0"/>
        <w:pageBreakBefore w:val="0"/>
        <w:spacing w:beforeAutospacing="0" w:afterAutospacing="0" w:line="360" w:lineRule="auto"/>
        <w:widowControl w:val="off"/>
        <w:tabs>
          <w:tab w:val="left" w:pos="4864" w:leader="none"/>
        </w:tabs>
        <w:rPr>
          <w:sz w:val="28"/>
          <w:szCs w:val="28"/>
          <w:highlight w:val="none"/>
        </w:rPr>
      </w:pPr>
      <w:r>
        <w:rPr>
          <w:rFonts w:hint="eastAsia" w:ascii="宋体" w:hAnsi="宋体" w:eastAsia="宋体" w:cs="宋体"/>
          <w:color w:val="000000"/>
          <w:sz w:val="28"/>
          <w:szCs w:val="28"/>
          <w:highlight w:val="none"/>
        </w:rPr>
        <w:t xml:space="preserve">        日  期：</w:t>
      </w:r>
      <w:r/>
    </w:p>
    <w:p>
      <w:pPr>
        <w:pStyle w:val="661"/>
        <w:jc w:val="center"/>
        <w:spacing w:beforeAutospacing="0" w:afterAutospacing="0" w:line="0" w:lineRule="atLeast"/>
        <w:rPr>
          <w:highlight w:val="none"/>
        </w:rPr>
      </w:pPr>
      <w:r>
        <w:rPr>
          <w:highlight w:val="none"/>
        </w:rPr>
        <w:t xml:space="preserve"> </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61"/>
        <w:jc w:val="center"/>
        <w:spacing w:beforeAutospacing="0" w:afterAutospacing="0" w:line="0" w:lineRule="atLeast"/>
        <w:rPr>
          <w:highlight w:val="none"/>
        </w:rPr>
        <w:outlineLvl w:val="0"/>
      </w:pPr>
      <w:r/>
      <w:bookmarkStart w:id="405" w:name="_Toc26702"/>
      <w:r/>
      <w:bookmarkStart w:id="406" w:name="_Toc7740"/>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、联合体协议（参考格式）</w:t>
      </w:r>
      <w:bookmarkEnd w:id="405"/>
      <w:r/>
      <w:bookmarkEnd w:id="406"/>
      <w:r/>
      <w:r/>
    </w:p>
    <w:p>
      <w:pPr>
        <w:pStyle w:val="661"/>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6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项目（分包号：JSZC-320922-JSJS-G2025-0008）的政府采购活动，我联合体指定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6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6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61"/>
        <w:ind w:firstLine="645"/>
        <w:jc w:val="both"/>
        <w:spacing w:beforeAutospacing="0" w:afterAutospacing="0" w:line="0" w:lineRule="atLeast"/>
        <w:rPr>
          <w:highlight w:val="none"/>
        </w:rPr>
      </w:pPr>
      <w:r>
        <w:rPr>
          <w:highlight w:val="none"/>
        </w:rPr>
        <w:t xml:space="preserve"> </w:t>
      </w:r>
      <w:r/>
    </w:p>
    <w:p>
      <w:pPr>
        <w:pStyle w:val="66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w:t>
      </w:r>
      <w:r>
        <w:rPr>
          <w:rFonts w:hint="eastAsia" w:ascii="宋体" w:hAnsi="宋体" w:eastAsia="宋体" w:cs="宋体"/>
          <w:color w:val="000000"/>
          <w:highlight w:val="none"/>
          <w:lang w:eastAsia="zh-CN"/>
        </w:rPr>
        <w:t xml:space="preserve">采购文件</w:t>
      </w:r>
      <w:r>
        <w:rPr>
          <w:rFonts w:hint="eastAsia" w:ascii="宋体" w:hAnsi="宋体" w:eastAsia="宋体" w:cs="宋体"/>
          <w:color w:val="000000"/>
          <w:highlight w:val="none"/>
        </w:rPr>
        <w:t xml:space="preserve">中要求加盖CA电子签章的地方，仅需加盖牵头单位的CA电子签章。</w:t>
      </w:r>
      <w:r/>
    </w:p>
    <w:p>
      <w:pPr>
        <w:pStyle w:val="66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61"/>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61"/>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rPr>
          <w:highlight w:val="none"/>
        </w:rPr>
      </w:pPr>
      <w:r>
        <w:rPr>
          <w:highlight w:val="none"/>
        </w:rPr>
        <w:t xml:space="preserve"> </w:t>
      </w:r>
      <w:r/>
    </w:p>
    <w:p>
      <w:pPr>
        <w:rPr>
          <w:highlight w:val="none"/>
        </w:rPr>
      </w:pPr>
      <w:r>
        <w:rPr>
          <w:highlight w:val="none"/>
        </w:rPr>
        <w:br w:type="page" w:clear="all"/>
      </w:r>
      <w:r/>
    </w:p>
    <w:p>
      <w:pPr>
        <w:pStyle w:val="664"/>
      </w:pPr>
      <w:r/>
      <w:r/>
    </w:p>
    <w:p>
      <w:pPr>
        <w:pStyle w:val="661"/>
        <w:jc w:val="center"/>
        <w:spacing w:beforeAutospacing="0" w:afterAutospacing="0"/>
        <w:rPr>
          <w:highlight w:val="none"/>
        </w:rPr>
        <w:outlineLvl w:val="0"/>
      </w:pPr>
      <w:r/>
      <w:bookmarkStart w:id="407" w:name="_Toc6307"/>
      <w:r/>
      <w:bookmarkStart w:id="408" w:name="_Toc15025"/>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、投标分项报价表（分包号：JSZC-320922-JSJS-G2025-0008）</w:t>
      </w:r>
      <w:bookmarkEnd w:id="407"/>
      <w:r/>
      <w:bookmarkEnd w:id="408"/>
      <w:r/>
      <w:r/>
    </w:p>
    <w:tbl>
      <w:tblPr>
        <w:tblStyle w:val="650"/>
        <w:tblW w:w="897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71"/>
        <w:gridCol w:w="1793"/>
        <w:gridCol w:w="1282"/>
        <w:gridCol w:w="1282"/>
        <w:gridCol w:w="1282"/>
        <w:gridCol w:w="1282"/>
        <w:gridCol w:w="1282"/>
      </w:tblGrid>
      <w:tr>
        <w:trPr>
          <w:jc w:val="center"/>
          <w:trHeight w:val="445"/>
        </w:trPr>
        <w:tc>
          <w:tcPr>
            <w:shd w:val="clear" w:color="auto" w:fill="auto"/>
            <w:tcW w:w="7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7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jc w:val="center"/>
          <w:trHeight w:val="867"/>
        </w:trPr>
        <w:tc>
          <w:tcPr>
            <w:shd w:val="clear" w:color="auto" w:fill="auto"/>
            <w:tcW w:w="771"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W w:w="17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分项服务名称</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交付期</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分项单位</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单价</w:t>
            </w:r>
            <w:r/>
          </w:p>
        </w:tc>
        <w:tc>
          <w:tcPr>
            <w:shd w:val="clear" w:color="auto" w:fill="auto"/>
            <w:tcW w:w="12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分项</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总价</w:t>
            </w:r>
            <w:r/>
          </w:p>
        </w:tc>
      </w:tr>
      <w:tr>
        <w:trPr>
          <w:jc w:val="center"/>
          <w:trHeight w:val="449"/>
        </w:trPr>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1793" w:type="dxa"/>
            <w:vAlign w:val="center"/>
            <w:textDirection w:val="lrTb"/>
            <w:noWrap w:val="false"/>
          </w:tcPr>
          <w:p>
            <w:pPr>
              <w:jc w:val="center"/>
              <w:rPr>
                <w:rFonts w:hint="eastAsia" w:ascii="Calibri" w:hAnsi="Calibri" w:eastAsia="宋体" w:cs="Calibri"/>
                <w:i w:val="0"/>
                <w:iCs w:val="0"/>
                <w:color w:val="000000"/>
                <w:sz w:val="24"/>
                <w:szCs w:val="24"/>
                <w:u w:val="none"/>
              </w:rPr>
            </w:pPr>
            <w:r>
              <w:rPr>
                <w:rFonts w:hint="eastAsia"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49"/>
        </w:trPr>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179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49"/>
        </w:trPr>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179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49"/>
        </w:trPr>
        <w:tc>
          <w:tcPr>
            <w:shd w:val="clear" w:color="auto" w:fill="auto"/>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7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282"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513"/>
        </w:trPr>
        <w:tc>
          <w:tcPr>
            <w:gridSpan w:val="6"/>
            <w:shd w:val="clear" w:color="auto" w:fill="auto"/>
            <w:tcW w:w="76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投标总报价（人民币：元）</w:t>
            </w:r>
            <w:r/>
          </w:p>
        </w:tc>
        <w:tc>
          <w:tcPr>
            <w:shd w:val="clear" w:color="auto" w:fill="auto"/>
            <w:tcW w:w="1282" w:type="dxa"/>
            <w:vAlign w:val="center"/>
            <w:textDirection w:val="lrTb"/>
            <w:noWrap w:val="false"/>
          </w:tcPr>
          <w:p>
            <w:pPr>
              <w:jc w:val="both"/>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bl>
    <w:p>
      <w:pPr>
        <w:pStyle w:val="661"/>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的其它所有费用，采购文件另有规定的除外。2. “投标分项报价表”中“投标总报价”数额应当与“开标一览表”中“投标总报价”数额一致。</w:t>
      </w:r>
      <w:r/>
    </w:p>
    <w:p>
      <w:pPr>
        <w:pStyle w:val="661"/>
        <w:jc w:val="center"/>
        <w:spacing w:beforeAutospacing="0" w:afterAutospacing="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br w:type="page" w:clear="all"/>
      </w:r>
      <w:r/>
    </w:p>
    <w:p>
      <w:pPr>
        <w:pStyle w:val="661"/>
        <w:jc w:val="center"/>
        <w:spacing w:beforeAutospacing="0" w:afterAutospacing="0"/>
        <w:rPr>
          <w:rFonts w:hint="eastAsia" w:eastAsia="黑体"/>
          <w:highlight w:val="none"/>
          <w:lang w:eastAsia="zh-CN"/>
        </w:rPr>
        <w:outlineLvl w:val="0"/>
      </w:pPr>
      <w:r/>
      <w:bookmarkStart w:id="409" w:name="_Toc9846"/>
      <w:r/>
      <w:bookmarkStart w:id="410" w:name="_Toc2277"/>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、技术要求响应及偏离表</w:t>
      </w:r>
      <w:r>
        <w:rPr>
          <w:rFonts w:hint="eastAsia" w:ascii="黑体" w:hAnsi="宋体" w:eastAsia="黑体" w:cs="黑体"/>
          <w:b/>
          <w:color w:val="000000"/>
          <w:sz w:val="32"/>
          <w:szCs w:val="32"/>
          <w:highlight w:val="none"/>
          <w:lang w:eastAsia="zh-CN"/>
        </w:rPr>
        <w:t xml:space="preserve">（</w:t>
      </w:r>
      <w:r>
        <w:rPr>
          <w:rFonts w:hint="eastAsia" w:ascii="黑体" w:hAnsi="宋体" w:eastAsia="黑体" w:cs="黑体"/>
          <w:b/>
          <w:color w:val="000000"/>
          <w:sz w:val="32"/>
          <w:szCs w:val="32"/>
          <w:highlight w:val="none"/>
          <w:lang w:val="en-US" w:eastAsia="zh-CN"/>
        </w:rPr>
        <w:t xml:space="preserve">服务类项目无需提供</w:t>
      </w:r>
      <w:r>
        <w:rPr>
          <w:rFonts w:hint="eastAsia" w:ascii="黑体" w:hAnsi="宋体" w:eastAsia="黑体" w:cs="黑体"/>
          <w:b/>
          <w:color w:val="000000"/>
          <w:sz w:val="32"/>
          <w:szCs w:val="32"/>
          <w:highlight w:val="none"/>
          <w:lang w:eastAsia="zh-CN"/>
        </w:rPr>
        <w:t xml:space="preserve">）</w:t>
      </w:r>
      <w:bookmarkEnd w:id="409"/>
      <w:r/>
      <w:bookmarkEnd w:id="410"/>
      <w:r/>
      <w:r/>
    </w:p>
    <w:tbl>
      <w:tblPr>
        <w:tblStyle w:val="650"/>
        <w:tblW w:w="907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9"/>
        <w:gridCol w:w="1963"/>
        <w:gridCol w:w="1963"/>
        <w:gridCol w:w="2585"/>
        <w:gridCol w:w="1847"/>
      </w:tblGrid>
      <w:tr>
        <w:trPr>
          <w:jc w:val="center"/>
          <w:trHeight w:val="948"/>
        </w:trPr>
        <w:tc>
          <w:tcPr>
            <w:shd w:val="clear" w:color="auto" w:fill="auto"/>
            <w:tcW w:w="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采购文件要求</w:t>
            </w:r>
            <w:r/>
          </w:p>
        </w:tc>
        <w:tc>
          <w:tcPr>
            <w:shd w:val="clear" w:color="auto" w:fill="auto"/>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投标响应情况</w:t>
            </w:r>
            <w:r/>
          </w:p>
        </w:tc>
        <w:tc>
          <w:tcPr>
            <w:shd w:val="clear" w:color="auto" w:fill="auto"/>
            <w:tcW w:w="258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超出、符合或偏离</w:t>
            </w:r>
            <w:r/>
          </w:p>
        </w:tc>
        <w:tc>
          <w:tcPr>
            <w:shd w:val="clear" w:color="auto" w:fill="auto"/>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材料</w:t>
            </w:r>
            <w:r/>
          </w:p>
        </w:tc>
      </w:tr>
      <w:tr>
        <w:trPr>
          <w:jc w:val="center"/>
          <w:trHeight w:val="486"/>
        </w:trPr>
        <w:tc>
          <w:tcPr>
            <w:shd w:val="clear" w:color="auto" w:fill="auto"/>
            <w:tcW w:w="719" w:type="dxa"/>
            <w:vAlign w:val="center"/>
            <w:textDirection w:val="lrTb"/>
            <w:noWrap w:val="false"/>
          </w:tcPr>
          <w:p>
            <w:pPr>
              <w:jc w:val="center"/>
              <w:rPr>
                <w:rFonts w:hint="eastAsia" w:ascii="Calibri" w:hAnsi="Calibri" w:eastAsia="宋体" w:cs="Calibri"/>
                <w:i w:val="0"/>
                <w:iCs w:val="0"/>
                <w:color w:val="000000"/>
                <w:sz w:val="24"/>
                <w:szCs w:val="24"/>
                <w:u w:val="none"/>
              </w:rPr>
            </w:pPr>
            <w:r>
              <w:rPr>
                <w:rFonts w:hint="eastAsia"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585"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847"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86"/>
        </w:trPr>
        <w:tc>
          <w:tcPr>
            <w:shd w:val="clear" w:color="auto" w:fill="auto"/>
            <w:tcW w:w="719"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585"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847"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86"/>
        </w:trPr>
        <w:tc>
          <w:tcPr>
            <w:shd w:val="clear" w:color="auto" w:fill="auto"/>
            <w:tcW w:w="719"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585"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847"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86"/>
        </w:trPr>
        <w:tc>
          <w:tcPr>
            <w:shd w:val="clear" w:color="auto" w:fill="auto"/>
            <w:tcW w:w="719"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585"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847"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86"/>
        </w:trPr>
        <w:tc>
          <w:tcPr>
            <w:shd w:val="clear" w:color="auto" w:fill="auto"/>
            <w:tcW w:w="719"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585"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847"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86"/>
        </w:trPr>
        <w:tc>
          <w:tcPr>
            <w:shd w:val="clear" w:color="auto" w:fill="auto"/>
            <w:tcW w:w="719"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585"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847"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486"/>
        </w:trPr>
        <w:tc>
          <w:tcPr>
            <w:shd w:val="clear" w:color="auto" w:fill="auto"/>
            <w:tcW w:w="719"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585"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847"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501"/>
        </w:trPr>
        <w:tc>
          <w:tcPr>
            <w:shd w:val="clear" w:color="auto" w:fill="auto"/>
            <w:tcW w:w="719"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96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W w:w="1963"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585"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847"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bl>
    <w:p>
      <w:pPr>
        <w:pStyle w:val="66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6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61"/>
        <w:jc w:val="center"/>
        <w:spacing w:beforeAutospacing="0" w:afterAutospacing="0"/>
        <w:rPr>
          <w:highlight w:val="none"/>
        </w:rPr>
      </w:pPr>
      <w:r>
        <w:rPr>
          <w:highlight w:val="none"/>
        </w:rPr>
        <w:t xml:space="preserve"> </w:t>
      </w:r>
      <w:r/>
    </w:p>
    <w:p>
      <w:pPr>
        <w:pStyle w:val="661"/>
        <w:jc w:val="center"/>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bookmarkStart w:id="411" w:name="_Hlt26955054"/>
      <w:r>
        <w:rPr>
          <w:rFonts w:hint="eastAsia" w:ascii="黑体" w:hAnsi="宋体" w:eastAsia="黑体" w:cs="黑体"/>
          <w:b/>
          <w:color w:val="000000"/>
          <w:sz w:val="32"/>
          <w:szCs w:val="32"/>
          <w:highlight w:val="none"/>
        </w:rPr>
        <w:br w:type="page" w:clear="all"/>
      </w:r>
      <w:r/>
    </w:p>
    <w:p>
      <w:pPr>
        <w:pStyle w:val="661"/>
        <w:numPr>
          <w:ilvl w:val="0"/>
          <w:numId w:val="0"/>
        </w:numPr>
        <w:jc w:val="center"/>
        <w:spacing w:beforeAutospacing="0" w:afterAutospacing="0"/>
        <w:rPr>
          <w:rFonts w:hint="eastAsia" w:ascii="黑体" w:hAnsi="宋体" w:eastAsia="黑体" w:cs="黑体"/>
          <w:b/>
          <w:color w:val="000000"/>
          <w:sz w:val="32"/>
          <w:szCs w:val="32"/>
          <w:highlight w:val="none"/>
        </w:rPr>
        <w:outlineLvl w:val="0"/>
      </w:pPr>
      <w:r/>
      <w:bookmarkStart w:id="412" w:name="_Toc25957"/>
      <w:r/>
      <w:bookmarkStart w:id="413" w:name="_Toc17047"/>
      <w:r>
        <w:rPr>
          <w:rFonts w:hint="eastAsia" w:ascii="黑体" w:hAnsi="宋体" w:eastAsia="黑体" w:cs="黑体"/>
          <w:b/>
          <w:color w:val="000000"/>
          <w:sz w:val="32"/>
          <w:szCs w:val="32"/>
          <w:lang w:val="en-US" w:eastAsia="zh-CN" w:bidi="ar-SA"/>
        </w:rPr>
        <w:t xml:space="preserve">十五、</w:t>
      </w:r>
      <w:r>
        <w:rPr>
          <w:rFonts w:hint="eastAsia" w:ascii="黑体" w:hAnsi="宋体" w:eastAsia="黑体" w:cs="黑体"/>
          <w:b/>
          <w:color w:val="000000"/>
          <w:sz w:val="32"/>
          <w:szCs w:val="32"/>
          <w:highlight w:val="none"/>
        </w:rPr>
        <w:t xml:space="preserve">商务要求响应及偏离表</w:t>
      </w:r>
      <w:r/>
    </w:p>
    <w:p>
      <w:pPr>
        <w:pStyle w:val="661"/>
        <w:numPr>
          <w:ilvl w:val="0"/>
          <w:numId w:val="0"/>
        </w:numPr>
        <w:jc w:val="center"/>
        <w:spacing w:beforeAutospacing="0" w:afterAutospacing="0"/>
        <w:rPr>
          <w:highlight w:val="none"/>
        </w:rPr>
        <w:outlineLvl w:val="0"/>
      </w:pPr>
      <w:r>
        <w:rPr>
          <w:rFonts w:hint="eastAsia" w:ascii="黑体" w:hAnsi="宋体" w:eastAsia="黑体" w:cs="黑体"/>
          <w:b/>
          <w:color w:val="000000"/>
          <w:sz w:val="32"/>
          <w:szCs w:val="32"/>
          <w:highlight w:val="none"/>
        </w:rPr>
        <w:t xml:space="preserve">（分包号：JSZC-320922-JSJS-G2025-0008）</w:t>
      </w:r>
      <w:bookmarkEnd w:id="412"/>
      <w:r/>
      <w:bookmarkEnd w:id="413"/>
      <w:r/>
      <w:r/>
    </w:p>
    <w:tbl>
      <w:tblPr>
        <w:tblStyle w:val="650"/>
        <w:tblW w:w="959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8"/>
        <w:gridCol w:w="2370"/>
        <w:gridCol w:w="2370"/>
        <w:gridCol w:w="2368"/>
        <w:gridCol w:w="1621"/>
      </w:tblGrid>
      <w:tr>
        <w:trPr>
          <w:jc w:val="center"/>
          <w:trHeight w:val="1391"/>
        </w:trPr>
        <w:tc>
          <w:tcPr>
            <w:shd w:val="clear" w:color="auto" w:fill="auto"/>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采购文件要求</w:t>
            </w:r>
            <w:r/>
          </w:p>
        </w:tc>
        <w:tc>
          <w:tcPr>
            <w:shd w:val="clear" w:color="auto" w:fill="auto"/>
            <w:tcW w:w="23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投标响应情况</w:t>
            </w:r>
            <w:r/>
          </w:p>
        </w:tc>
        <w:tc>
          <w:tcPr>
            <w:shd w:val="clear" w:color="auto" w:fill="auto"/>
            <w:tcW w:w="23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超出、符合或偏离</w:t>
            </w:r>
            <w:r/>
          </w:p>
        </w:tc>
        <w:tc>
          <w:tcPr>
            <w:shd w:val="clear" w:color="auto" w:fill="auto"/>
            <w:tcW w:w="162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证明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材料</w:t>
            </w:r>
            <w:r/>
          </w:p>
        </w:tc>
      </w:tr>
      <w:tr>
        <w:trPr>
          <w:jc w:val="center"/>
          <w:trHeight w:val="357"/>
        </w:trPr>
        <w:tc>
          <w:tcPr>
            <w:shd w:val="clear" w:color="auto" w:fill="auto"/>
            <w:tcW w:w="868" w:type="dxa"/>
            <w:vAlign w:val="center"/>
            <w:textDirection w:val="lrTb"/>
            <w:noWrap w:val="false"/>
          </w:tcPr>
          <w:p>
            <w:pPr>
              <w:jc w:val="center"/>
              <w:rPr>
                <w:rFonts w:hint="eastAsia" w:ascii="Calibri" w:hAnsi="Calibri" w:eastAsia="宋体" w:cs="Calibri"/>
                <w:i w:val="0"/>
                <w:iCs w:val="0"/>
                <w:color w:val="000000"/>
                <w:sz w:val="24"/>
                <w:szCs w:val="24"/>
                <w:u w:val="none"/>
              </w:rPr>
            </w:pPr>
            <w:r>
              <w:rPr>
                <w:rFonts w:hint="eastAsia"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359"/>
        </w:trPr>
        <w:tc>
          <w:tcPr>
            <w:shd w:val="clear" w:color="auto" w:fill="auto"/>
            <w:tcW w:w="8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r>
        <w:trPr>
          <w:jc w:val="center"/>
          <w:trHeight w:val="370"/>
        </w:trPr>
        <w:tc>
          <w:tcPr>
            <w:shd w:val="clear" w:color="auto" w:fill="auto"/>
            <w:tcW w:w="8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70"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2368"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c>
          <w:tcPr>
            <w:shd w:val="clear" w:color="auto" w:fill="auto"/>
            <w:tcW w:w="1621" w:type="dxa"/>
            <w:vAlign w:val="center"/>
            <w:textDirection w:val="lrTb"/>
            <w:noWrap w:val="false"/>
          </w:tcPr>
          <w:p>
            <w:pPr>
              <w:jc w:val="center"/>
              <w:rPr>
                <w:rFonts w:hint="default" w:ascii="Calibri" w:hAnsi="Calibri" w:eastAsia="宋体" w:cs="Calibri"/>
                <w:i w:val="0"/>
                <w:iCs w:val="0"/>
                <w:color w:val="000000"/>
                <w:sz w:val="24"/>
                <w:szCs w:val="24"/>
                <w:u w:val="none"/>
              </w:rPr>
            </w:pPr>
            <w:r>
              <w:rPr>
                <w:rFonts w:hint="default" w:ascii="Calibri" w:hAnsi="Calibri" w:eastAsia="宋体" w:cs="Calibri"/>
                <w:i w:val="0"/>
                <w:iCs w:val="0"/>
                <w:color w:val="000000"/>
                <w:sz w:val="24"/>
                <w:szCs w:val="24"/>
                <w:u w:val="none"/>
              </w:rPr>
            </w:r>
            <w:r/>
          </w:p>
        </w:tc>
      </w:tr>
    </w:tbl>
    <w:p>
      <w:pPr>
        <w:pStyle w:val="661"/>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rPr>
          <w:highlight w:val="none"/>
        </w:rPr>
      </w:pPr>
      <w:r>
        <w:rPr>
          <w:highlight w:val="none"/>
        </w:rPr>
        <w:t xml:space="preserve"> </w:t>
      </w:r>
      <w:bookmarkStart w:id="414" w:name="_Hlt26955066"/>
      <w:r/>
      <w:bookmarkStart w:id="415" w:name="_格式2__法定代表人授权书"/>
      <w:r/>
      <w:bookmarkStart w:id="416" w:name="_Toc462564146"/>
      <w:r/>
      <w:bookmarkStart w:id="417" w:name="_Hlt26671374"/>
      <w:r/>
      <w:bookmarkStart w:id="418" w:name="_Hlt26609389"/>
      <w:r/>
      <w:r/>
    </w:p>
    <w:p>
      <w:pPr>
        <w:rPr>
          <w:highlight w:val="none"/>
        </w:rPr>
      </w:pPr>
      <w:r>
        <w:rPr>
          <w:highlight w:val="none"/>
        </w:rPr>
        <w:br w:type="page" w:clear="all"/>
      </w:r>
      <w:r/>
    </w:p>
    <w:p>
      <w:pPr>
        <w:pStyle w:val="661"/>
        <w:jc w:val="center"/>
        <w:spacing w:beforeAutospacing="0" w:afterAutospacing="0"/>
        <w:rPr>
          <w:color w:val="auto"/>
          <w:highlight w:val="none"/>
        </w:rPr>
        <w:outlineLvl w:val="0"/>
      </w:pPr>
      <w:r/>
      <w:bookmarkStart w:id="419" w:name="_Toc10070"/>
      <w:r/>
      <w:bookmarkStart w:id="420" w:name="_Toc29953"/>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bookmarkEnd w:id="419"/>
      <w:r/>
      <w:bookmarkEnd w:id="420"/>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lang w:eastAsia="zh-CN"/>
        </w:rPr>
        <w:t xml:space="preserve">投标供应商</w:t>
      </w:r>
      <w:r>
        <w:rPr>
          <w:rFonts w:hint="eastAsia" w:ascii="宋体" w:hAnsi="宋体" w:eastAsia="宋体" w:cs="宋体"/>
          <w:color w:val="auto"/>
          <w:highlight w:val="none"/>
        </w:rPr>
        <w:t xml:space="preserve">全称（加盖CA电子签章）：</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6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50"/>
        <w:tblW w:w="8206"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jc w:val="cente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61"/>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61"/>
        <w:jc w:val="both"/>
        <w:spacing w:beforeAutospacing="0" w:afterAutospacing="0"/>
        <w:rPr>
          <w:color w:val="auto"/>
          <w:highlight w:val="none"/>
        </w:rPr>
      </w:pPr>
      <w:r>
        <w:rPr>
          <w:color w:val="auto"/>
          <w:highlight w:val="none"/>
        </w:rPr>
        <w:t xml:space="preserve"> </w:t>
      </w:r>
      <w:r/>
    </w:p>
    <w:p>
      <w:pPr>
        <w:pStyle w:val="661"/>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61"/>
        <w:ind w:firstLine="480"/>
        <w:jc w:val="both"/>
        <w:spacing w:beforeAutospacing="0" w:afterAutospacing="0"/>
        <w:rPr>
          <w:highlight w:val="none"/>
        </w:rPr>
      </w:pPr>
      <w:r>
        <w:rPr>
          <w:highlight w:val="none"/>
        </w:rPr>
        <w:t xml:space="preserve"> </w:t>
      </w:r>
      <w:r/>
    </w:p>
    <w:p>
      <w:pPr>
        <w:rPr>
          <w:highlight w:val="none"/>
        </w:rPr>
      </w:pPr>
      <w:r>
        <w:rPr>
          <w:highlight w:val="none"/>
        </w:rPr>
        <w:br w:type="page" w:clear="all"/>
      </w:r>
      <w:r/>
    </w:p>
    <w:p>
      <w:pPr>
        <w:jc w:val="center"/>
        <w:spacing w:before="50" w:after="50"/>
        <w:widowControl/>
        <w:rPr>
          <w:rFonts w:ascii="宋体" w:hAnsi="宋体" w:eastAsia="宋体" w:cs="宋体"/>
          <w:b/>
          <w:bCs/>
          <w:sz w:val="24"/>
          <w:highlight w:val="none"/>
        </w:rPr>
        <w:outlineLvl w:val="0"/>
      </w:pPr>
      <w:r/>
      <w:bookmarkStart w:id="421" w:name="_Toc28642"/>
      <w:r/>
      <w:bookmarkStart w:id="422" w:name="_Toc10118"/>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eastAsia="zh-CN"/>
        </w:rPr>
        <w:t xml:space="preserve">七</w:t>
      </w:r>
      <w:r>
        <w:rPr>
          <w:rFonts w:hint="eastAsia" w:ascii="宋体" w:hAnsi="宋体" w:eastAsia="宋体" w:cs="宋体"/>
          <w:b/>
          <w:bCs/>
          <w:color w:val="000000"/>
          <w:sz w:val="32"/>
          <w:szCs w:val="32"/>
          <w:highlight w:val="none"/>
        </w:rPr>
        <w:t xml:space="preserve">、技术方案、服务承诺、培训承诺等</w:t>
      </w:r>
      <w:bookmarkEnd w:id="421"/>
      <w:r/>
      <w:bookmarkEnd w:id="422"/>
      <w:r/>
      <w:r/>
    </w:p>
    <w:p>
      <w:pPr>
        <w:pStyle w:val="661"/>
        <w:jc w:val="both"/>
        <w:spacing w:beforeAutospacing="0" w:afterAutospacing="0"/>
        <w:tabs>
          <w:tab w:val="left" w:pos="2160" w:leader="none"/>
        </w:tabs>
        <w:rPr>
          <w:highlight w:val="none"/>
        </w:rPr>
      </w:pPr>
      <w:r>
        <w:rPr>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499" w:lineRule="atLeast"/>
        <w:widowControl/>
        <w:rPr>
          <w:rFonts w:ascii="宋体" w:hAnsi="宋体" w:eastAsia="宋体" w:cs="宋体"/>
          <w:b/>
          <w:bCs/>
          <w:sz w:val="24"/>
          <w:highlight w:val="none"/>
        </w:rPr>
        <w:outlineLvl w:val="0"/>
      </w:pPr>
      <w:r/>
      <w:bookmarkStart w:id="423" w:name="_Toc2903"/>
      <w:r/>
      <w:bookmarkStart w:id="424" w:name="_Toc14808"/>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八</w:t>
      </w:r>
      <w:r>
        <w:rPr>
          <w:rFonts w:hint="eastAsia" w:ascii="宋体" w:hAnsi="宋体" w:eastAsia="宋体" w:cs="宋体"/>
          <w:b/>
          <w:bCs/>
          <w:color w:val="000000"/>
          <w:sz w:val="32"/>
          <w:szCs w:val="32"/>
          <w:highlight w:val="none"/>
        </w:rPr>
        <w:t xml:space="preserve">、盐城市政府采购事前信用承诺书</w:t>
      </w:r>
      <w:bookmarkEnd w:id="423"/>
      <w:r/>
      <w:bookmarkEnd w:id="424"/>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61"/>
        <w:jc w:val="center"/>
        <w:spacing w:beforeAutospacing="0" w:afterAutospacing="0"/>
        <w:rPr>
          <w:highlight w:val="none"/>
        </w:rPr>
      </w:pPr>
      <w:r>
        <w:rPr>
          <w:highlight w:val="none"/>
        </w:rPr>
      </w:r>
      <w:bookmarkEnd w:id="55"/>
      <w:bookmarkEnd w:id="79"/>
      <w:bookmarkEnd w:id="138"/>
      <w:bookmarkEnd w:id="139"/>
      <w:bookmarkEnd w:id="140"/>
      <w:bookmarkEnd w:id="144"/>
      <w:bookmarkEnd w:id="145"/>
      <w:bookmarkEnd w:id="146"/>
      <w:bookmarkEnd w:id="148"/>
      <w:bookmarkEnd w:id="149"/>
      <w:bookmarkEnd w:id="150"/>
      <w:bookmarkEnd w:id="151"/>
      <w:bookmarkEnd w:id="152"/>
      <w:bookmarkEnd w:id="153"/>
      <w:bookmarkEnd w:id="154"/>
      <w:bookmarkEnd w:id="155"/>
      <w:bookmarkEnd w:id="156"/>
      <w:bookmarkEnd w:id="157"/>
      <w:bookmarkEnd w:id="164"/>
      <w:bookmarkEnd w:id="165"/>
      <w:bookmarkEnd w:id="166"/>
      <w:bookmarkEnd w:id="174"/>
      <w:bookmarkEnd w:id="175"/>
      <w:bookmarkEnd w:id="184"/>
      <w:bookmarkEnd w:id="321"/>
      <w:bookmarkEnd w:id="326"/>
      <w:bookmarkEnd w:id="377"/>
      <w:bookmarkEnd w:id="378"/>
      <w:bookmarkEnd w:id="396"/>
      <w:bookmarkEnd w:id="397"/>
      <w:bookmarkEnd w:id="398"/>
      <w:bookmarkEnd w:id="411"/>
      <w:bookmarkEnd w:id="414"/>
      <w:bookmarkEnd w:id="415"/>
      <w:bookmarkEnd w:id="416"/>
      <w:bookmarkEnd w:id="417"/>
      <w:bookmarkEnd w:id="418"/>
      <w:r/>
    </w:p>
    <w:p>
      <w:pPr>
        <w:rPr>
          <w:highlight w:val="none"/>
        </w:rPr>
      </w:pPr>
      <w:r>
        <w:rPr>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61"/>
        <w:jc w:val="center"/>
        <w:spacing w:beforeAutospacing="0" w:afterAutospacing="0"/>
        <w:rPr>
          <w:rFonts w:ascii="宋体" w:hAnsi="宋体" w:eastAsia="宋体" w:cs="宋体"/>
          <w:b/>
          <w:color w:val="000000"/>
          <w:sz w:val="32"/>
          <w:szCs w:val="32"/>
          <w:highlight w:val="none"/>
        </w:rPr>
        <w:outlineLvl w:val="0"/>
      </w:pPr>
      <w:r/>
      <w:bookmarkStart w:id="425" w:name="_Toc23410"/>
      <w:r/>
      <w:bookmarkStart w:id="426" w:name="_Toc3422"/>
      <w:r>
        <w:rPr>
          <w:rFonts w:hint="eastAsia" w:ascii="宋体" w:hAnsi="宋体" w:eastAsia="宋体" w:cs="宋体"/>
          <w:b/>
          <w:color w:val="000000"/>
          <w:sz w:val="32"/>
          <w:szCs w:val="32"/>
          <w:highlight w:val="none"/>
        </w:rPr>
        <w:t xml:space="preserve">质疑函范本</w:t>
      </w:r>
      <w:bookmarkEnd w:id="425"/>
      <w:r/>
      <w:bookmarkEnd w:id="426"/>
      <w:r/>
      <w:r/>
    </w:p>
    <w:p>
      <w:pPr>
        <w:pStyle w:val="661"/>
        <w:jc w:val="both"/>
        <w:keepLines w:val="0"/>
        <w:keepNext w:val="0"/>
        <w:pageBreakBefore w:val="0"/>
        <w:spacing w:beforeAutospacing="0" w:afterAutospacing="0" w:line="520" w:lineRule="exact"/>
        <w:rPr>
          <w:rFonts w:ascii="宋体" w:hAnsi="宋体" w:eastAsia="宋体" w:cs="宋体"/>
          <w:highlight w:val="none"/>
        </w:rPr>
        <w:outlineLvl w:val="1"/>
      </w:pPr>
      <w:r/>
      <w:bookmarkStart w:id="427" w:name="_Toc12043"/>
      <w:r>
        <w:rPr>
          <w:rFonts w:hint="eastAsia" w:ascii="宋体" w:hAnsi="宋体" w:eastAsia="宋体" w:cs="宋体"/>
          <w:color w:val="000000"/>
          <w:highlight w:val="none"/>
        </w:rPr>
        <w:t xml:space="preserve">一、质疑供应商基本信息</w:t>
      </w:r>
      <w:bookmarkEnd w:id="427"/>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outlineLvl w:val="1"/>
      </w:pPr>
      <w:r/>
      <w:bookmarkStart w:id="428" w:name="_Toc9195"/>
      <w:r>
        <w:rPr>
          <w:rFonts w:hint="eastAsia" w:ascii="宋体" w:hAnsi="宋体" w:eastAsia="宋体" w:cs="宋体"/>
          <w:color w:val="000000"/>
          <w:highlight w:val="none"/>
        </w:rPr>
        <w:t xml:space="preserve">二、质疑项目基本情况</w:t>
      </w:r>
      <w:bookmarkEnd w:id="428"/>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outlineLvl w:val="1"/>
      </w:pPr>
      <w:r/>
      <w:bookmarkStart w:id="429" w:name="_Toc1025"/>
      <w:r>
        <w:rPr>
          <w:rFonts w:hint="eastAsia" w:ascii="宋体" w:hAnsi="宋体" w:eastAsia="宋体" w:cs="宋体"/>
          <w:color w:val="000000"/>
          <w:highlight w:val="none"/>
        </w:rPr>
        <w:t xml:space="preserve">三、质疑事项具体内容</w:t>
      </w:r>
      <w:bookmarkEnd w:id="429"/>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61"/>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661"/>
        <w:jc w:val="both"/>
        <w:keepLines w:val="0"/>
        <w:keepNext w:val="0"/>
        <w:pageBreakBefore w:val="0"/>
        <w:spacing w:beforeAutospacing="0" w:afterAutospacing="0" w:line="520" w:lineRule="exact"/>
        <w:rPr>
          <w:rFonts w:ascii="宋体" w:hAnsi="宋体" w:eastAsia="宋体" w:cs="宋体"/>
          <w:highlight w:val="none"/>
        </w:rPr>
        <w:outlineLvl w:val="1"/>
      </w:pPr>
      <w:r/>
      <w:bookmarkStart w:id="430" w:name="_Toc588"/>
      <w:r>
        <w:rPr>
          <w:rFonts w:hint="eastAsia" w:ascii="宋体" w:hAnsi="宋体" w:eastAsia="宋体" w:cs="宋体"/>
          <w:color w:val="000000"/>
          <w:highlight w:val="none"/>
        </w:rPr>
        <w:t xml:space="preserve">四、与质疑事项相关的质疑请求</w:t>
      </w:r>
      <w:bookmarkEnd w:id="430"/>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61"/>
        <w:jc w:val="both"/>
        <w:keepLines w:val="0"/>
        <w:keepNext w:val="0"/>
        <w:pageBreakBefore w:val="0"/>
        <w:spacing w:beforeAutospacing="0" w:afterAutospacing="0" w:line="52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61"/>
        <w:ind w:firstLine="480"/>
        <w:keepLines w:val="0"/>
        <w:keepNext w:val="0"/>
        <w:pageBreakBefore w:val="0"/>
        <w:spacing w:beforeAutospacing="0" w:afterAutospacing="0" w:line="52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61"/>
        <w:ind w:firstLine="480"/>
        <w:keepLines w:val="0"/>
        <w:keepNext w:val="0"/>
        <w:pageBreakBefore w:val="0"/>
        <w:spacing w:beforeAutospacing="0" w:afterAutospacing="0" w:line="52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1"/>
        <w:ind w:firstLine="480"/>
        <w:keepLines w:val="0"/>
        <w:keepNext w:val="0"/>
        <w:pageBreakBefore w:val="0"/>
        <w:spacing w:beforeAutospacing="0" w:afterAutospacing="0" w:line="52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61"/>
        <w:ind w:firstLine="480"/>
        <w:keepLines w:val="0"/>
        <w:keepNext w:val="0"/>
        <w:pageBreakBefore w:val="0"/>
        <w:spacing w:beforeAutospacing="0" w:afterAutospacing="0" w:line="52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61"/>
        <w:ind w:firstLine="480"/>
        <w:keepLines w:val="0"/>
        <w:keepNext w:val="0"/>
        <w:pageBreakBefore w:val="0"/>
        <w:spacing w:beforeAutospacing="0" w:afterAutospacing="0" w:line="52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61"/>
        <w:ind w:firstLine="480"/>
        <w:keepLines w:val="0"/>
        <w:keepNext w:val="0"/>
        <w:pageBreakBefore w:val="0"/>
        <w:spacing w:beforeAutospacing="0" w:afterAutospacing="0" w:line="52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61"/>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楷体_GB2312">
    <w:panose1 w:val="02010609060101010101"/>
  </w:font>
  <w:font w:name="等线">
    <w:panose1 w:val="02010600030101010101"/>
  </w:font>
  <w:font w:name="仿宋">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9"/>
    <w:link w:val="12"/>
    <w:uiPriority w:val="9"/>
    <w:rPr>
      <w:rFonts w:ascii="Arial" w:hAnsi="Arial" w:eastAsia="Arial" w:cs="Arial"/>
      <w:sz w:val="40"/>
      <w:szCs w:val="40"/>
    </w:rPr>
  </w:style>
  <w:style w:type="character" w:styleId="15">
    <w:name w:val="Heading 2 Char"/>
    <w:basedOn w:val="649"/>
    <w:link w:val="648"/>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9"/>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9"/>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58"/>
    <w:uiPriority w:val="99"/>
  </w:style>
  <w:style w:type="character" w:styleId="44">
    <w:name w:val="Footer Char"/>
    <w:basedOn w:val="649"/>
    <w:link w:val="657"/>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57"/>
    <w:uiPriority w:val="99"/>
  </w:style>
  <w:style w:type="table" w:styleId="47">
    <w:name w:val="Table Grid"/>
    <w:basedOn w:val="6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1"/>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8">
    <w:name w:val="Heading 2"/>
    <w:basedOn w:val="647"/>
    <w:next w:val="6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Body Text First Indent 2"/>
    <w:basedOn w:val="652"/>
    <w:uiPriority w:val="0"/>
    <w:qFormat/>
    <w:pPr>
      <w:ind w:firstLine="420"/>
    </w:pPr>
  </w:style>
  <w:style w:type="paragraph" w:styleId="652">
    <w:name w:val="Body Text Indent"/>
    <w:basedOn w:val="647"/>
    <w:next w:val="653"/>
    <w:uiPriority w:val="0"/>
    <w:qFormat/>
    <w:pPr>
      <w:ind w:firstLine="615"/>
    </w:pPr>
    <w:rPr>
      <w:rFonts w:eastAsia="仿宋_GB2312"/>
      <w:sz w:val="32"/>
      <w:szCs w:val="20"/>
      <w:u w:val="single"/>
    </w:rPr>
  </w:style>
  <w:style w:type="paragraph" w:styleId="653">
    <w:name w:val="envelope return"/>
    <w:basedOn w:val="647"/>
    <w:uiPriority w:val="0"/>
    <w:qFormat/>
    <w:rPr>
      <w:rFonts w:ascii="Arial" w:hAnsi="Arial"/>
    </w:rPr>
  </w:style>
  <w:style w:type="paragraph" w:styleId="654">
    <w:name w:val="annotation text"/>
    <w:basedOn w:val="647"/>
    <w:uiPriority w:val="0"/>
    <w:qFormat/>
    <w:pPr>
      <w:jc w:val="left"/>
    </w:pPr>
  </w:style>
  <w:style w:type="paragraph" w:styleId="655">
    <w:name w:val="Body Text"/>
    <w:basedOn w:val="647"/>
    <w:uiPriority w:val="0"/>
    <w:semiHidden/>
    <w:qFormat/>
    <w:rPr>
      <w:rFonts w:ascii="仿宋" w:hAnsi="仿宋" w:eastAsia="仿宋" w:cs="仿宋"/>
      <w:sz w:val="31"/>
      <w:szCs w:val="31"/>
      <w:lang w:val="en-US" w:eastAsia="en-US" w:bidi="ar-SA"/>
    </w:rPr>
  </w:style>
  <w:style w:type="paragraph" w:styleId="656">
    <w:name w:val="toc 3"/>
    <w:basedOn w:val="647"/>
    <w:next w:val="647"/>
    <w:uiPriority w:val="0"/>
    <w:qFormat/>
    <w:pPr>
      <w:ind w:left="840"/>
    </w:pPr>
  </w:style>
  <w:style w:type="paragraph" w:styleId="657">
    <w:name w:val="Footer"/>
    <w:basedOn w:val="647"/>
    <w:link w:val="667"/>
    <w:uiPriority w:val="0"/>
    <w:qFormat/>
    <w:pPr>
      <w:jc w:val="left"/>
      <w:tabs>
        <w:tab w:val="center" w:pos="4153" w:leader="none"/>
        <w:tab w:val="right" w:pos="8306" w:leader="none"/>
      </w:tabs>
    </w:pPr>
    <w:rPr>
      <w:sz w:val="18"/>
      <w:szCs w:val="18"/>
    </w:rPr>
  </w:style>
  <w:style w:type="paragraph" w:styleId="658">
    <w:name w:val="Header"/>
    <w:basedOn w:val="647"/>
    <w:link w:val="666"/>
    <w:uiPriority w:val="0"/>
    <w:qFormat/>
    <w:pPr>
      <w:jc w:val="center"/>
      <w:tabs>
        <w:tab w:val="center" w:pos="4153" w:leader="none"/>
        <w:tab w:val="right" w:pos="8306" w:leader="none"/>
      </w:tabs>
      <w:pBdr>
        <w:bottom w:val="single" w:color="auto" w:sz="6" w:space="1"/>
      </w:pBdr>
    </w:pPr>
    <w:rPr>
      <w:sz w:val="18"/>
      <w:szCs w:val="18"/>
    </w:rPr>
  </w:style>
  <w:style w:type="paragraph" w:styleId="659">
    <w:name w:val="toc 1"/>
    <w:basedOn w:val="647"/>
    <w:next w:val="647"/>
    <w:uiPriority w:val="0"/>
    <w:qFormat/>
  </w:style>
  <w:style w:type="paragraph" w:styleId="660">
    <w:name w:val="toc 2"/>
    <w:basedOn w:val="647"/>
    <w:next w:val="647"/>
    <w:uiPriority w:val="0"/>
    <w:qFormat/>
    <w:pPr>
      <w:ind w:left="420"/>
    </w:pPr>
  </w:style>
  <w:style w:type="paragraph" w:styleId="661">
    <w:name w:val="Normal (Web)"/>
    <w:basedOn w:val="647"/>
    <w:uiPriority w:val="0"/>
    <w:qFormat/>
    <w:pPr>
      <w:jc w:val="left"/>
      <w:spacing w:beforeAutospacing="1" w:afterAutospacing="1"/>
    </w:pPr>
    <w:rPr>
      <w:rFonts w:cs="Times New Roman"/>
      <w:sz w:val="24"/>
    </w:rPr>
  </w:style>
  <w:style w:type="paragraph" w:styleId="662">
    <w:name w:val="Body Text First Indent"/>
    <w:basedOn w:val="647"/>
    <w:uiPriority w:val="0"/>
    <w:qFormat/>
    <w:pPr>
      <w:ind w:firstLine="420"/>
    </w:pPr>
    <w:rPr>
      <w:rFonts w:ascii="楷体_GB2312" w:hAnsi="Times New Roman" w:eastAsia="楷体_GB2312"/>
      <w:sz w:val="32"/>
      <w:szCs w:val="20"/>
    </w:rPr>
  </w:style>
  <w:style w:type="character" w:styleId="663">
    <w:name w:val="Strong"/>
    <w:basedOn w:val="649"/>
    <w:uiPriority w:val="0"/>
    <w:qFormat/>
    <w:rPr>
      <w:b/>
    </w:rPr>
  </w:style>
  <w:style w:type="paragraph" w:styleId="664" w:customStyle="1">
    <w:name w:val="普通正文"/>
    <w:basedOn w:val="647"/>
    <w:uiPriority w:val="0"/>
    <w:qFormat/>
    <w:pPr>
      <w:ind w:firstLine="480"/>
      <w:jc w:val="left"/>
      <w:spacing w:before="120" w:after="120" w:line="360" w:lineRule="auto"/>
    </w:pPr>
    <w:rPr>
      <w:rFonts w:ascii="Arial" w:hAnsi="Arial" w:eastAsia="等线" w:cs="Arial"/>
      <w:sz w:val="24"/>
      <w:szCs w:val="24"/>
    </w:rPr>
  </w:style>
  <w:style w:type="paragraph" w:styleId="665" w:customStyle="1">
    <w:name w:val="Default"/>
    <w:basedOn w:val="647"/>
    <w:uiPriority w:val="0"/>
    <w:semiHidden/>
    <w:qFormat/>
    <w:pPr>
      <w:jc w:val="left"/>
    </w:pPr>
    <w:rPr>
      <w:rFonts w:ascii="宋体" w:hAnsi="Calibri" w:cs="宋体"/>
      <w:color w:val="000000"/>
      <w:sz w:val="24"/>
    </w:rPr>
  </w:style>
  <w:style w:type="character" w:styleId="666" w:customStyle="1">
    <w:name w:val="页眉 Char"/>
    <w:basedOn w:val="649"/>
    <w:link w:val="658"/>
    <w:uiPriority w:val="0"/>
    <w:qFormat/>
    <w:rPr>
      <w:rFonts w:asciiTheme="minorHAnsi" w:hAnsiTheme="minorHAnsi" w:eastAsiaTheme="minorEastAsia" w:cstheme="minorBidi"/>
      <w:sz w:val="18"/>
      <w:szCs w:val="18"/>
    </w:rPr>
  </w:style>
  <w:style w:type="character" w:styleId="667" w:customStyle="1">
    <w:name w:val="页脚 Char"/>
    <w:basedOn w:val="649"/>
    <w:link w:val="657"/>
    <w:uiPriority w:val="0"/>
    <w:qFormat/>
    <w:rPr>
      <w:rFonts w:asciiTheme="minorHAnsi" w:hAnsiTheme="minorHAnsi" w:eastAsiaTheme="minorEastAsia" w:cstheme="minorBidi"/>
      <w:sz w:val="18"/>
      <w:szCs w:val="18"/>
    </w:rPr>
  </w:style>
  <w:style w:type="paragraph" w:styleId="668" w:customStyle="1">
    <w:name w:val="正文首行缩进 21"/>
    <w:basedOn w:val="669"/>
    <w:uiPriority w:val="0"/>
    <w:qFormat/>
    <w:pPr>
      <w:ind w:firstLine="420"/>
    </w:pPr>
  </w:style>
  <w:style w:type="paragraph" w:styleId="669" w:customStyle="1">
    <w:name w:val="正文文本缩进1"/>
    <w:basedOn w:val="647"/>
    <w:uiPriority w:val="0"/>
    <w:qFormat/>
    <w:pPr>
      <w:ind w:left="420"/>
      <w:spacing w:after="120"/>
    </w:pPr>
  </w:style>
  <w:style w:type="numbering" w:styleId="9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徐鹏程</cp:lastModifiedBy>
  <cp:revision>273</cp:revision>
  <dcterms:created xsi:type="dcterms:W3CDTF">2014-10-29T12:08:00Z</dcterms:created>
  <dcterms:modified xsi:type="dcterms:W3CDTF">2025-10-31T06:19:51Z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187449F395C64B439800A99CAD7C30C3_13</vt:lpwstr>
  </property>
  <property fmtid="{D5CDD505-2E9C-101B-9397-08002B2CF9AE}" pid="4" name="KSOTemplateDocerSaveRecord">
    <vt:lpwstr>eyJoZGlkIjoiMDU2NjZmOGI1YWQ2MmVhYjIxMDUxYjhjZjFmOWM0YjAiLCJ1c2VySWQiOiI1MjgzNDY3MDQifQ==</vt:lpwstr>
  </property>
</Properties>
</file>